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60A" w:rsidRPr="00904F50" w:rsidRDefault="0093560A" w:rsidP="00604822">
      <w:pPr>
        <w:jc w:val="both"/>
        <w:rPr>
          <w:rFonts w:ascii="Garamond" w:hAnsi="Garamond"/>
          <w:sz w:val="24"/>
          <w:szCs w:val="24"/>
        </w:rPr>
      </w:pPr>
      <w:r w:rsidRPr="00904F50">
        <w:rPr>
          <w:rFonts w:ascii="Garamond" w:hAnsi="Garamond"/>
          <w:sz w:val="24"/>
          <w:szCs w:val="24"/>
        </w:rPr>
        <w:t xml:space="preserve">De façon général, l’exposé est </w:t>
      </w:r>
      <w:r w:rsidR="001F6F41">
        <w:rPr>
          <w:rFonts w:ascii="Garamond" w:hAnsi="Garamond"/>
          <w:sz w:val="24"/>
          <w:szCs w:val="24"/>
        </w:rPr>
        <w:t xml:space="preserve">plutôt </w:t>
      </w:r>
      <w:r w:rsidRPr="00904F50">
        <w:rPr>
          <w:rFonts w:ascii="Garamond" w:hAnsi="Garamond"/>
          <w:sz w:val="24"/>
          <w:szCs w:val="24"/>
        </w:rPr>
        <w:t>dynamique</w:t>
      </w:r>
      <w:r w:rsidR="001F6F41">
        <w:rPr>
          <w:rFonts w:ascii="Garamond" w:hAnsi="Garamond"/>
          <w:sz w:val="24"/>
          <w:szCs w:val="24"/>
        </w:rPr>
        <w:t xml:space="preserve"> et se fait quasi sans lire les notes.</w:t>
      </w:r>
      <w:r w:rsidR="00696577">
        <w:rPr>
          <w:rFonts w:ascii="Garamond" w:hAnsi="Garamond"/>
          <w:sz w:val="24"/>
          <w:szCs w:val="24"/>
        </w:rPr>
        <w:t xml:space="preserve"> Cependant le temps a manqué pour traiter proprement le cas des diastéréoisomères.</w:t>
      </w:r>
      <w:r w:rsidR="00B97B4C">
        <w:rPr>
          <w:rFonts w:ascii="Garamond" w:hAnsi="Garamond"/>
          <w:sz w:val="24"/>
          <w:szCs w:val="24"/>
        </w:rPr>
        <w:t xml:space="preserve"> </w:t>
      </w:r>
      <w:r w:rsidR="001F6F41">
        <w:rPr>
          <w:rFonts w:ascii="Garamond" w:hAnsi="Garamond"/>
          <w:sz w:val="24"/>
          <w:szCs w:val="24"/>
        </w:rPr>
        <w:t>Lucas est ou</w:t>
      </w:r>
      <w:r w:rsidR="00B97B4C">
        <w:rPr>
          <w:rFonts w:ascii="Garamond" w:hAnsi="Garamond"/>
          <w:sz w:val="24"/>
          <w:szCs w:val="24"/>
        </w:rPr>
        <w:t>vert aux remarques et critiques et soucieux de s’améliorer.</w:t>
      </w:r>
    </w:p>
    <w:p w:rsidR="00904F50" w:rsidRPr="00696577" w:rsidRDefault="00696577" w:rsidP="00696577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Remarques : </w:t>
      </w:r>
    </w:p>
    <w:p w:rsidR="00D036BE" w:rsidRDefault="00D036BE" w:rsidP="00D81D0D">
      <w:pPr>
        <w:pStyle w:val="Paragraphedeliste"/>
        <w:numPr>
          <w:ilvl w:val="0"/>
          <w:numId w:val="1"/>
        </w:num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 w:rsidRPr="00904F50">
        <w:rPr>
          <w:rFonts w:ascii="Garamond" w:hAnsi="Garamond"/>
          <w:sz w:val="24"/>
          <w:szCs w:val="24"/>
        </w:rPr>
        <w:t xml:space="preserve">La forme de l’exposé est </w:t>
      </w:r>
      <w:r w:rsidR="00696577">
        <w:rPr>
          <w:rFonts w:ascii="Garamond" w:hAnsi="Garamond"/>
          <w:sz w:val="24"/>
          <w:szCs w:val="24"/>
        </w:rPr>
        <w:t xml:space="preserve">globalement </w:t>
      </w:r>
      <w:r w:rsidRPr="00904F50">
        <w:rPr>
          <w:rFonts w:ascii="Garamond" w:hAnsi="Garamond"/>
          <w:sz w:val="24"/>
          <w:szCs w:val="24"/>
        </w:rPr>
        <w:t xml:space="preserve">conforme à ce qui est attendu. </w:t>
      </w:r>
    </w:p>
    <w:p w:rsidR="00696577" w:rsidRDefault="00696577" w:rsidP="00D81D0D">
      <w:pPr>
        <w:pStyle w:val="Paragraphedeliste"/>
        <w:numPr>
          <w:ilvl w:val="0"/>
          <w:numId w:val="1"/>
        </w:num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y a eu des manipes suffisantes.</w:t>
      </w:r>
    </w:p>
    <w:p w:rsidR="00696577" w:rsidRPr="00904F50" w:rsidRDefault="00696577" w:rsidP="00D81D0D">
      <w:pPr>
        <w:pStyle w:val="Paragraphedeliste"/>
        <w:numPr>
          <w:ilvl w:val="0"/>
          <w:numId w:val="1"/>
        </w:num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Demander au jury avant d’effacer des choses au tableau ?</w:t>
      </w:r>
    </w:p>
    <w:p w:rsidR="00872CC8" w:rsidRDefault="001F6F41" w:rsidP="00D81D0D">
      <w:pPr>
        <w:pStyle w:val="Paragraphedeliste"/>
        <w:numPr>
          <w:ilvl w:val="0"/>
          <w:numId w:val="1"/>
        </w:num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Pas de hors-sujet mais des points importants non-traités qu’il faut intégrer : différence d’activité optique entre 2 énantiomères et cas de la diastéréoisomérie avec 2 C*.</w:t>
      </w:r>
    </w:p>
    <w:p w:rsidR="001F6F41" w:rsidRPr="00904F50" w:rsidRDefault="001F6F41" w:rsidP="00D81D0D">
      <w:pPr>
        <w:pStyle w:val="Paragraphedeliste"/>
        <w:numPr>
          <w:ilvl w:val="0"/>
          <w:numId w:val="1"/>
        </w:num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Insister </w:t>
      </w:r>
      <w:r>
        <w:rPr>
          <w:rFonts w:ascii="Garamond" w:hAnsi="Garamond"/>
          <w:sz w:val="24"/>
          <w:szCs w:val="24"/>
        </w:rPr>
        <w:t>sur : « </w:t>
      </w:r>
      <w:r w:rsidRPr="00904F50">
        <w:rPr>
          <w:rFonts w:ascii="Garamond" w:hAnsi="Garamond"/>
          <w:sz w:val="24"/>
          <w:szCs w:val="24"/>
        </w:rPr>
        <w:t>Une molécule = une constitution + une configuration.</w:t>
      </w:r>
      <w:r>
        <w:rPr>
          <w:rFonts w:ascii="Garamond" w:hAnsi="Garamond"/>
          <w:sz w:val="24"/>
          <w:szCs w:val="24"/>
        </w:rPr>
        <w:t> »</w:t>
      </w:r>
    </w:p>
    <w:p w:rsidR="001F6F41" w:rsidRPr="00812FAC" w:rsidRDefault="001F6F41" w:rsidP="00D81D0D">
      <w:pPr>
        <w:pStyle w:val="Paragraphedeliste"/>
        <w:numPr>
          <w:ilvl w:val="0"/>
          <w:numId w:val="1"/>
        </w:num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 w:rsidRPr="00904F50">
        <w:rPr>
          <w:rFonts w:ascii="Garamond" w:hAnsi="Garamond"/>
          <w:sz w:val="24"/>
          <w:szCs w:val="24"/>
        </w:rPr>
        <w:t xml:space="preserve">Attention, </w:t>
      </w:r>
      <w:r>
        <w:rPr>
          <w:rFonts w:ascii="Garamond" w:hAnsi="Garamond"/>
          <w:sz w:val="24"/>
          <w:szCs w:val="24"/>
        </w:rPr>
        <w:t xml:space="preserve">confusion sur l’utilisation du terme « conformère ». Ce terme n’est pas équivalent à « isomère de configuration ». D’après l’IUPAC </w:t>
      </w:r>
      <w:r w:rsidRPr="00904F50">
        <w:rPr>
          <w:rFonts w:ascii="Garamond" w:hAnsi="Garamond"/>
          <w:sz w:val="24"/>
          <w:szCs w:val="24"/>
        </w:rPr>
        <w:t xml:space="preserve">: </w:t>
      </w:r>
      <w:r w:rsidRPr="00904F50">
        <w:rPr>
          <w:rFonts w:ascii="Garamond" w:hAnsi="Garamond"/>
          <w:i/>
          <w:sz w:val="24"/>
          <w:szCs w:val="24"/>
        </w:rPr>
        <w:t>« Conformer : o</w:t>
      </w:r>
      <w:r w:rsidRPr="00904F50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>ne of a set of </w:t>
      </w:r>
      <w:proofErr w:type="spellStart"/>
      <w:r w:rsidRPr="00696577">
        <w:rPr>
          <w:rFonts w:ascii="Garamond" w:hAnsi="Garamond" w:cs="Arial"/>
          <w:i/>
          <w:sz w:val="24"/>
          <w:szCs w:val="24"/>
          <w:shd w:val="clear" w:color="auto" w:fill="FFFFFF"/>
        </w:rPr>
        <w:t>stereoisomers</w:t>
      </w:r>
      <w:proofErr w:type="spellEnd"/>
      <w:r w:rsidRPr="00904F50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04F50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>each</w:t>
      </w:r>
      <w:proofErr w:type="spellEnd"/>
      <w:r w:rsidRPr="00904F50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904F50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904F50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F50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>is</w:t>
      </w:r>
      <w:proofErr w:type="spellEnd"/>
      <w:r w:rsidRPr="00904F50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F50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>characterized</w:t>
      </w:r>
      <w:proofErr w:type="spellEnd"/>
      <w:r w:rsidRPr="00904F50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 xml:space="preserve"> by a </w:t>
      </w:r>
      <w:r w:rsidRPr="00696577">
        <w:rPr>
          <w:rFonts w:ascii="Garamond" w:hAnsi="Garamond" w:cs="Arial"/>
          <w:i/>
          <w:sz w:val="24"/>
          <w:szCs w:val="24"/>
          <w:shd w:val="clear" w:color="auto" w:fill="FFFFFF"/>
        </w:rPr>
        <w:t>conformation</w:t>
      </w:r>
      <w:r w:rsidRPr="00904F50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F6F41">
        <w:rPr>
          <w:rFonts w:ascii="Garamond" w:hAnsi="Garamond" w:cs="Arial"/>
          <w:b/>
          <w:i/>
          <w:color w:val="000000"/>
          <w:sz w:val="24"/>
          <w:szCs w:val="24"/>
          <w:shd w:val="clear" w:color="auto" w:fill="FFFFFF"/>
        </w:rPr>
        <w:t>corresponding</w:t>
      </w:r>
      <w:proofErr w:type="spellEnd"/>
      <w:r w:rsidRPr="001F6F41">
        <w:rPr>
          <w:rFonts w:ascii="Garamond" w:hAnsi="Garamond" w:cs="Arial"/>
          <w:b/>
          <w:i/>
          <w:color w:val="000000"/>
          <w:sz w:val="24"/>
          <w:szCs w:val="24"/>
          <w:shd w:val="clear" w:color="auto" w:fill="FFFFFF"/>
        </w:rPr>
        <w:t xml:space="preserve"> to a distinct </w:t>
      </w:r>
      <w:proofErr w:type="spellStart"/>
      <w:r w:rsidRPr="001F6F41">
        <w:rPr>
          <w:rFonts w:ascii="Garamond" w:hAnsi="Garamond" w:cs="Arial"/>
          <w:b/>
          <w:i/>
          <w:color w:val="000000"/>
          <w:sz w:val="24"/>
          <w:szCs w:val="24"/>
          <w:shd w:val="clear" w:color="auto" w:fill="FFFFFF"/>
        </w:rPr>
        <w:t>potential</w:t>
      </w:r>
      <w:proofErr w:type="spellEnd"/>
      <w:r w:rsidRPr="001F6F41">
        <w:rPr>
          <w:rFonts w:ascii="Garamond" w:hAnsi="Garamond" w:cs="Arial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6F41">
        <w:rPr>
          <w:rFonts w:ascii="Garamond" w:hAnsi="Garamond" w:cs="Arial"/>
          <w:b/>
          <w:i/>
          <w:color w:val="000000"/>
          <w:sz w:val="24"/>
          <w:szCs w:val="24"/>
          <w:shd w:val="clear" w:color="auto" w:fill="FFFFFF"/>
        </w:rPr>
        <w:t>energy</w:t>
      </w:r>
      <w:proofErr w:type="spellEnd"/>
      <w:r w:rsidRPr="001F6F41">
        <w:rPr>
          <w:rFonts w:ascii="Garamond" w:hAnsi="Garamond" w:cs="Arial"/>
          <w:b/>
          <w:i/>
          <w:color w:val="000000"/>
          <w:sz w:val="24"/>
          <w:szCs w:val="24"/>
          <w:shd w:val="clear" w:color="auto" w:fill="FFFFFF"/>
        </w:rPr>
        <w:t xml:space="preserve"> minimum. </w:t>
      </w:r>
      <w:r w:rsidRPr="00904F50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>»</w:t>
      </w:r>
      <w:r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 xml:space="preserve">. </w:t>
      </w:r>
      <w:r w:rsidRPr="001F6F41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Ainsi l’’éthane n’a qu’une seul conformère (le décalé) !</w:t>
      </w:r>
    </w:p>
    <w:p w:rsidR="00812FAC" w:rsidRPr="00904F50" w:rsidRDefault="00812FAC" w:rsidP="00D81D0D">
      <w:pPr>
        <w:pStyle w:val="Paragraphedeliste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904F50">
        <w:rPr>
          <w:rFonts w:ascii="Garamond" w:hAnsi="Garamond"/>
          <w:sz w:val="24"/>
          <w:szCs w:val="24"/>
        </w:rPr>
        <w:t xml:space="preserve">La stabilité de la conformation décalée de l’éthane ne s’interprète pas par les interactions électroniques entre (C-C) ou entre (C-H). Cela s’interprète par les orbitales frontières de la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904F50">
        <w:rPr>
          <w:rFonts w:ascii="Garamond" w:eastAsiaTheme="minorEastAsia" w:hAnsi="Garamond"/>
          <w:sz w:val="24"/>
          <w:szCs w:val="24"/>
        </w:rPr>
        <w:t xml:space="preserve">(C-H) du C1 et de la </w:t>
      </w:r>
      <m:oMath>
        <m:r>
          <w:rPr>
            <w:rFonts w:ascii="Cambria Math" w:hAnsi="Cambria Math"/>
            <w:sz w:val="24"/>
            <w:szCs w:val="24"/>
          </w:rPr>
          <m:t>σ*</m:t>
        </m:r>
      </m:oMath>
      <w:r w:rsidRPr="00904F50">
        <w:rPr>
          <w:rFonts w:ascii="Garamond" w:eastAsiaTheme="minorEastAsia" w:hAnsi="Garamond"/>
          <w:sz w:val="24"/>
          <w:szCs w:val="24"/>
        </w:rPr>
        <w:t xml:space="preserve">(C-H) du C2. </w:t>
      </w:r>
      <w:r w:rsidRPr="00904F50">
        <w:rPr>
          <w:rFonts w:ascii="Garamond" w:eastAsiaTheme="minorEastAsia" w:hAnsi="Garamond"/>
          <w:b/>
          <w:sz w:val="24"/>
          <w:szCs w:val="24"/>
        </w:rPr>
        <w:t xml:space="preserve">Voir le BUP 884, </w:t>
      </w:r>
      <w:r w:rsidRPr="00904F50">
        <w:rPr>
          <w:rFonts w:ascii="Garamond" w:hAnsi="Garamond"/>
          <w:b/>
          <w:sz w:val="24"/>
          <w:szCs w:val="24"/>
        </w:rPr>
        <w:t>JOUBERT Jérôme</w:t>
      </w:r>
      <w:r w:rsidRPr="00904F50">
        <w:rPr>
          <w:rFonts w:ascii="Garamond" w:eastAsiaTheme="minorEastAsia" w:hAnsi="Garamond"/>
          <w:b/>
          <w:sz w:val="24"/>
          <w:szCs w:val="24"/>
        </w:rPr>
        <w:t xml:space="preserve"> (2006).</w:t>
      </w:r>
    </w:p>
    <w:p w:rsidR="00812FAC" w:rsidRDefault="00812FAC" w:rsidP="00D81D0D">
      <w:pPr>
        <w:pStyle w:val="Paragraphedeliste"/>
        <w:numPr>
          <w:ilvl w:val="0"/>
          <w:numId w:val="1"/>
        </w:num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L’exemple de l’ovalbumine est bien mais délicat ! A éviter je pense.</w:t>
      </w:r>
    </w:p>
    <w:p w:rsidR="00812FAC" w:rsidRPr="00904F50" w:rsidRDefault="00812FAC" w:rsidP="00D81D0D">
      <w:pPr>
        <w:pStyle w:val="Paragraphedeliste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Connaître pour la t</w:t>
      </w:r>
      <w:r w:rsidRPr="00904F50">
        <w:rPr>
          <w:rFonts w:ascii="Garamond" w:hAnsi="Garamond"/>
          <w:sz w:val="24"/>
          <w:szCs w:val="24"/>
        </w:rPr>
        <w:t xml:space="preserve">étravalence du C : </w:t>
      </w:r>
      <w:proofErr w:type="spellStart"/>
      <w:r w:rsidRPr="00904F50">
        <w:rPr>
          <w:rFonts w:ascii="Garamond" w:hAnsi="Garamond"/>
          <w:sz w:val="24"/>
          <w:szCs w:val="24"/>
        </w:rPr>
        <w:t>Van’t</w:t>
      </w:r>
      <w:proofErr w:type="spellEnd"/>
      <w:r w:rsidRPr="00904F50">
        <w:rPr>
          <w:rFonts w:ascii="Garamond" w:hAnsi="Garamond"/>
          <w:sz w:val="24"/>
          <w:szCs w:val="24"/>
        </w:rPr>
        <w:t xml:space="preserve"> Hoff (NL) et Le Bel (FR) indépendamment en 1874.</w:t>
      </w:r>
    </w:p>
    <w:p w:rsidR="001F6F41" w:rsidRDefault="00B96983" w:rsidP="00D81D0D">
      <w:pPr>
        <w:pStyle w:val="Paragraphedeliste"/>
        <w:numPr>
          <w:ilvl w:val="0"/>
          <w:numId w:val="1"/>
        </w:num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Préciser ce que signifie </w:t>
      </w:r>
      <w:r w:rsidR="001F6F41" w:rsidRPr="00904F50">
        <w:rPr>
          <w:rFonts w:ascii="Garamond" w:hAnsi="Garamond"/>
          <w:sz w:val="24"/>
          <w:szCs w:val="24"/>
        </w:rPr>
        <w:t>(+)</w:t>
      </w:r>
      <w:r>
        <w:rPr>
          <w:rFonts w:ascii="Garamond" w:hAnsi="Garamond"/>
          <w:sz w:val="24"/>
          <w:szCs w:val="24"/>
        </w:rPr>
        <w:t xml:space="preserve"> </w:t>
      </w:r>
      <w:r w:rsidR="001F6F41" w:rsidRPr="00904F50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 xml:space="preserve"> </w:t>
      </w:r>
      <w:r w:rsidR="001F6F41" w:rsidRPr="00904F50">
        <w:rPr>
          <w:rFonts w:ascii="Garamond" w:hAnsi="Garamond"/>
          <w:sz w:val="24"/>
          <w:szCs w:val="24"/>
        </w:rPr>
        <w:t xml:space="preserve">(-) </w:t>
      </w:r>
      <w:r>
        <w:rPr>
          <w:rFonts w:ascii="Garamond" w:hAnsi="Garamond"/>
          <w:sz w:val="24"/>
          <w:szCs w:val="24"/>
        </w:rPr>
        <w:t xml:space="preserve">devant le nom du limonène (ce qui implique d’avoir parlé d’activité optique donc). </w:t>
      </w:r>
    </w:p>
    <w:p w:rsidR="00812FAC" w:rsidRDefault="00812FAC" w:rsidP="00D81D0D">
      <w:pPr>
        <w:pStyle w:val="Paragraphedeliste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904F50">
        <w:rPr>
          <w:rFonts w:ascii="Garamond" w:hAnsi="Garamond"/>
          <w:sz w:val="24"/>
          <w:szCs w:val="24"/>
        </w:rPr>
        <w:t>Double concours de circonstances pour Pasteur quant à sa découverte des énantiomères (t° du labo + le fait que les sels d’acide tartrique cristallisent en conglomérat racémique et non en racémique vrai).</w:t>
      </w:r>
    </w:p>
    <w:p w:rsidR="00812FAC" w:rsidRPr="00904F50" w:rsidRDefault="00812FAC" w:rsidP="00D81D0D">
      <w:pPr>
        <w:pStyle w:val="Paragraphedeliste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904F50">
        <w:rPr>
          <w:rFonts w:ascii="Garamond" w:hAnsi="Garamond"/>
          <w:sz w:val="24"/>
          <w:szCs w:val="24"/>
        </w:rPr>
        <w:t>Autres sources de chiralité : atomes asymétriques (Si, Ge, N avec la précaution de l’effet parapluie, P), axe de chiralité (allènes), cas limite configuration/confirmation avec l’</w:t>
      </w:r>
      <w:proofErr w:type="spellStart"/>
      <w:r w:rsidRPr="00904F50">
        <w:rPr>
          <w:rFonts w:ascii="Garamond" w:hAnsi="Garamond"/>
          <w:sz w:val="24"/>
          <w:szCs w:val="24"/>
        </w:rPr>
        <w:t>atropoisomérie</w:t>
      </w:r>
      <w:proofErr w:type="spellEnd"/>
      <w:r w:rsidRPr="00904F50">
        <w:rPr>
          <w:rFonts w:ascii="Garamond" w:hAnsi="Garamond"/>
          <w:sz w:val="24"/>
          <w:szCs w:val="24"/>
        </w:rPr>
        <w:t xml:space="preserve"> (</w:t>
      </w:r>
      <w:proofErr w:type="spellStart"/>
      <w:r w:rsidRPr="00904F50">
        <w:rPr>
          <w:rFonts w:ascii="Garamond" w:hAnsi="Garamond"/>
          <w:sz w:val="24"/>
          <w:szCs w:val="24"/>
        </w:rPr>
        <w:t>biphényles</w:t>
      </w:r>
      <w:proofErr w:type="spellEnd"/>
      <w:r w:rsidRPr="00904F50">
        <w:rPr>
          <w:rFonts w:ascii="Garamond" w:hAnsi="Garamond"/>
          <w:sz w:val="24"/>
          <w:szCs w:val="24"/>
        </w:rPr>
        <w:t>).</w:t>
      </w:r>
    </w:p>
    <w:p w:rsidR="00812FAC" w:rsidRPr="00904F50" w:rsidRDefault="00812FAC" w:rsidP="00D81D0D">
      <w:pPr>
        <w:pStyle w:val="Paragraphedeliste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r w:rsidRPr="00904F50">
        <w:rPr>
          <w:rFonts w:ascii="Garamond" w:hAnsi="Garamond"/>
          <w:sz w:val="24"/>
          <w:szCs w:val="24"/>
        </w:rPr>
        <w:t xml:space="preserve">Lien entre chiralité et symétrie : chiralité si absence de plan de symétrie, de centre de symétrie et d’axe inverse de symétrie supérieur à </w:t>
      </w:r>
      <w:r w:rsidRPr="00812FAC">
        <w:rPr>
          <w:rFonts w:ascii="Garamond" w:hAnsi="Garamond"/>
          <w:b/>
          <w:sz w:val="24"/>
          <w:szCs w:val="24"/>
        </w:rPr>
        <w:t>2</w:t>
      </w:r>
      <w:r w:rsidRPr="00904F50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 xml:space="preserve">symétrie par axe via rotation de </w:t>
      </w:r>
      <w:proofErr w:type="gramStart"/>
      <w:r>
        <w:rPr>
          <w:rFonts w:ascii="Garamond" w:hAnsi="Garamond"/>
          <w:sz w:val="24"/>
          <w:szCs w:val="24"/>
        </w:rPr>
        <w:t>2.pi</w:t>
      </w:r>
      <w:proofErr w:type="gramEnd"/>
      <w:r>
        <w:rPr>
          <w:rFonts w:ascii="Garamond" w:hAnsi="Garamond"/>
          <w:sz w:val="24"/>
          <w:szCs w:val="24"/>
        </w:rPr>
        <w:t>/</w:t>
      </w:r>
      <w:r w:rsidRPr="00812FAC">
        <w:rPr>
          <w:rFonts w:ascii="Garamond" w:hAnsi="Garamond"/>
          <w:b/>
          <w:sz w:val="24"/>
          <w:szCs w:val="24"/>
        </w:rPr>
        <w:t>2</w:t>
      </w:r>
      <w:r w:rsidRPr="00904F50">
        <w:rPr>
          <w:rFonts w:ascii="Garamond" w:hAnsi="Garamond"/>
          <w:sz w:val="24"/>
          <w:szCs w:val="24"/>
        </w:rPr>
        <w:t>).</w:t>
      </w:r>
    </w:p>
    <w:p w:rsidR="00696577" w:rsidRDefault="00696577" w:rsidP="00D81D0D">
      <w:pPr>
        <w:pStyle w:val="Paragraphedeliste"/>
        <w:numPr>
          <w:ilvl w:val="0"/>
          <w:numId w:val="1"/>
        </w:num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Attention à ne jamais pipeter dans le flacon d’origine mais toujours utiliser un bécher intermédiaire.</w:t>
      </w:r>
    </w:p>
    <w:p w:rsidR="00696577" w:rsidRDefault="00696577" w:rsidP="00D81D0D">
      <w:pPr>
        <w:pStyle w:val="Paragraphedeliste"/>
        <w:numPr>
          <w:ilvl w:val="0"/>
          <w:numId w:val="1"/>
        </w:num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 pas récupérer la plaque CCM avec les doigts mais utiliser une pince à épiler.</w:t>
      </w:r>
    </w:p>
    <w:p w:rsidR="001F6F41" w:rsidRPr="00696577" w:rsidRDefault="00B97B4C" w:rsidP="00D81D0D">
      <w:pPr>
        <w:spacing w:after="0" w:line="336" w:lineRule="auto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lastRenderedPageBreak/>
        <w:t xml:space="preserve">Propositions </w:t>
      </w:r>
      <w:r w:rsidR="00696577" w:rsidRPr="00696577">
        <w:rPr>
          <w:rFonts w:ascii="Garamond" w:hAnsi="Garamond"/>
          <w:b/>
          <w:sz w:val="24"/>
          <w:szCs w:val="24"/>
          <w:u w:val="single"/>
        </w:rPr>
        <w:t xml:space="preserve">: </w:t>
      </w:r>
    </w:p>
    <w:p w:rsidR="00696577" w:rsidRDefault="00696577" w:rsidP="00D81D0D">
      <w:pPr>
        <w:pStyle w:val="Paragraphedeliste"/>
        <w:numPr>
          <w:ilvl w:val="0"/>
          <w:numId w:val="1"/>
        </w:numPr>
        <w:spacing w:after="0" w:line="33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Annoncer les objectifs de la leçon.</w:t>
      </w:r>
    </w:p>
    <w:p w:rsidR="00696577" w:rsidRPr="00696577" w:rsidRDefault="00696577" w:rsidP="00D81D0D">
      <w:pPr>
        <w:pStyle w:val="Paragraphedeliste"/>
        <w:numPr>
          <w:ilvl w:val="0"/>
          <w:numId w:val="1"/>
        </w:numPr>
        <w:spacing w:after="0" w:line="33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Partir d’une situation-déclenchante (cas de la thalidomide par exemple ou du limonène</w:t>
      </w:r>
      <w:r w:rsidR="00B97B4C">
        <w:rPr>
          <w:rFonts w:ascii="Garamond" w:hAnsi="Garamond"/>
          <w:sz w:val="24"/>
          <w:szCs w:val="24"/>
        </w:rPr>
        <w:t xml:space="preserve"> + éventuellement cas du bombykol</w:t>
      </w:r>
      <w:r>
        <w:rPr>
          <w:rFonts w:ascii="Garamond" w:hAnsi="Garamond"/>
          <w:sz w:val="24"/>
          <w:szCs w:val="24"/>
        </w:rPr>
        <w:t>) pour poser un problème et dire que la leçon va nous donner les outils de répondre</w:t>
      </w:r>
      <w:r>
        <w:rPr>
          <w:rFonts w:ascii="Garamond" w:hAnsi="Garamond"/>
          <w:sz w:val="24"/>
          <w:szCs w:val="24"/>
        </w:rPr>
        <w:t xml:space="preserve"> à ce problème. Y revenir évidemment en conclusion !</w:t>
      </w:r>
    </w:p>
    <w:p w:rsidR="00696577" w:rsidRDefault="00696577" w:rsidP="00D81D0D">
      <w:pPr>
        <w:pStyle w:val="Paragraphedeliste"/>
        <w:numPr>
          <w:ilvl w:val="0"/>
          <w:numId w:val="1"/>
        </w:numPr>
        <w:spacing w:after="0" w:line="33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Traiter donc la </w:t>
      </w:r>
      <w:r w:rsidRPr="00696577">
        <w:rPr>
          <w:rFonts w:ascii="Garamond" w:hAnsi="Garamond"/>
          <w:sz w:val="24"/>
          <w:szCs w:val="24"/>
        </w:rPr>
        <w:t xml:space="preserve">différence d’activité optique entre 2 énantiomères et </w:t>
      </w:r>
      <w:r>
        <w:rPr>
          <w:rFonts w:ascii="Garamond" w:hAnsi="Garamond"/>
          <w:sz w:val="24"/>
          <w:szCs w:val="24"/>
        </w:rPr>
        <w:t xml:space="preserve">le </w:t>
      </w:r>
      <w:r w:rsidRPr="00696577">
        <w:rPr>
          <w:rFonts w:ascii="Garamond" w:hAnsi="Garamond"/>
          <w:sz w:val="24"/>
          <w:szCs w:val="24"/>
        </w:rPr>
        <w:t>cas de la diastéréoisomérie avec 2 C*.</w:t>
      </w:r>
    </w:p>
    <w:p w:rsidR="00696577" w:rsidRDefault="00696577" w:rsidP="00D81D0D">
      <w:pPr>
        <w:pStyle w:val="Paragraphedeliste"/>
        <w:numPr>
          <w:ilvl w:val="0"/>
          <w:numId w:val="1"/>
        </w:numPr>
        <w:spacing w:after="0" w:line="336" w:lineRule="auto"/>
        <w:jc w:val="both"/>
        <w:rPr>
          <w:rFonts w:ascii="Garamond" w:hAnsi="Garamond"/>
          <w:sz w:val="24"/>
          <w:szCs w:val="24"/>
        </w:rPr>
      </w:pPr>
      <w:r w:rsidRPr="00904F50">
        <w:rPr>
          <w:rFonts w:ascii="Garamond" w:hAnsi="Garamond"/>
          <w:sz w:val="24"/>
          <w:szCs w:val="24"/>
        </w:rPr>
        <w:t xml:space="preserve">Une carte mentale </w:t>
      </w:r>
      <w:r>
        <w:rPr>
          <w:rFonts w:ascii="Garamond" w:hAnsi="Garamond"/>
          <w:sz w:val="24"/>
          <w:szCs w:val="24"/>
        </w:rPr>
        <w:t xml:space="preserve">(type p.293 du Sirius </w:t>
      </w:r>
      <w:proofErr w:type="spellStart"/>
      <w:r>
        <w:rPr>
          <w:rFonts w:ascii="Garamond" w:hAnsi="Garamond"/>
          <w:sz w:val="24"/>
          <w:szCs w:val="24"/>
        </w:rPr>
        <w:t>Tle</w:t>
      </w:r>
      <w:proofErr w:type="spellEnd"/>
      <w:r>
        <w:rPr>
          <w:rFonts w:ascii="Garamond" w:hAnsi="Garamond"/>
          <w:sz w:val="24"/>
          <w:szCs w:val="24"/>
        </w:rPr>
        <w:t xml:space="preserve"> S mais à étoffer !) </w:t>
      </w:r>
      <w:r w:rsidRPr="00904F50">
        <w:rPr>
          <w:rFonts w:ascii="Garamond" w:hAnsi="Garamond"/>
          <w:sz w:val="24"/>
          <w:szCs w:val="24"/>
        </w:rPr>
        <w:t xml:space="preserve">se prête bien à la leçon. </w:t>
      </w:r>
      <w:r>
        <w:rPr>
          <w:rFonts w:ascii="Garamond" w:hAnsi="Garamond"/>
          <w:sz w:val="24"/>
          <w:szCs w:val="24"/>
        </w:rPr>
        <w:t>Elle peut être dévoilée au fur et à mesure ou mieux, construite au fur et à mesure.</w:t>
      </w:r>
    </w:p>
    <w:p w:rsidR="001F6F41" w:rsidRPr="00B96983" w:rsidRDefault="00B96983" w:rsidP="00D81D0D">
      <w:pPr>
        <w:pStyle w:val="Paragraphedeliste"/>
        <w:numPr>
          <w:ilvl w:val="0"/>
          <w:numId w:val="1"/>
        </w:numPr>
        <w:spacing w:after="0" w:line="33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Les définitions gagneraient du temps à être écrite sur un </w:t>
      </w:r>
      <w:proofErr w:type="spellStart"/>
      <w:r>
        <w:rPr>
          <w:rFonts w:ascii="Garamond" w:hAnsi="Garamond"/>
          <w:sz w:val="24"/>
          <w:szCs w:val="24"/>
        </w:rPr>
        <w:t>powerpoint</w:t>
      </w:r>
      <w:proofErr w:type="spellEnd"/>
      <w:r>
        <w:rPr>
          <w:rFonts w:ascii="Garamond" w:hAnsi="Garamond"/>
          <w:sz w:val="24"/>
          <w:szCs w:val="24"/>
        </w:rPr>
        <w:t xml:space="preserve"> ou un transparent. Les écrire fait perdre du temps et ne font pas démonstration du savoir-faire de l’enseignant. </w:t>
      </w:r>
    </w:p>
    <w:p w:rsidR="00696577" w:rsidRDefault="00B96983" w:rsidP="00D81D0D">
      <w:pPr>
        <w:pStyle w:val="Paragraphedeliste"/>
        <w:numPr>
          <w:ilvl w:val="0"/>
          <w:numId w:val="1"/>
        </w:numPr>
        <w:spacing w:after="0" w:line="33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Mettre moins d’exemple pour gagner du temps. Choisir un exemple </w:t>
      </w:r>
      <w:r w:rsidR="00696577">
        <w:rPr>
          <w:rFonts w:ascii="Garamond" w:hAnsi="Garamond"/>
          <w:sz w:val="24"/>
          <w:szCs w:val="24"/>
        </w:rPr>
        <w:t xml:space="preserve">du vivant </w:t>
      </w:r>
      <w:r>
        <w:rPr>
          <w:rFonts w:ascii="Garamond" w:hAnsi="Garamond"/>
          <w:sz w:val="24"/>
          <w:szCs w:val="24"/>
        </w:rPr>
        <w:t xml:space="preserve">bien ciblé et </w:t>
      </w:r>
      <w:r w:rsidR="00D81D0D">
        <w:rPr>
          <w:rFonts w:ascii="Garamond" w:hAnsi="Garamond"/>
          <w:sz w:val="24"/>
          <w:szCs w:val="24"/>
        </w:rPr>
        <w:t xml:space="preserve">le moins </w:t>
      </w:r>
      <w:r>
        <w:rPr>
          <w:rFonts w:ascii="Garamond" w:hAnsi="Garamond"/>
          <w:sz w:val="24"/>
          <w:szCs w:val="24"/>
        </w:rPr>
        <w:t xml:space="preserve">casse-gueule </w:t>
      </w:r>
      <w:r w:rsidR="00D81D0D">
        <w:rPr>
          <w:rFonts w:ascii="Garamond" w:hAnsi="Garamond"/>
          <w:sz w:val="24"/>
          <w:szCs w:val="24"/>
        </w:rPr>
        <w:t xml:space="preserve">possible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pour chaque cas de stéréoisomérie : </w:t>
      </w:r>
    </w:p>
    <w:p w:rsidR="001F6F41" w:rsidRDefault="00B96983" w:rsidP="00D81D0D">
      <w:pPr>
        <w:pStyle w:val="Paragraphedeliste"/>
        <w:numPr>
          <w:ilvl w:val="0"/>
          <w:numId w:val="4"/>
        </w:numPr>
        <w:spacing w:after="0" w:line="336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importance</w:t>
      </w:r>
      <w:proofErr w:type="gramEnd"/>
      <w:r>
        <w:rPr>
          <w:rFonts w:ascii="Garamond" w:hAnsi="Garamond"/>
          <w:sz w:val="24"/>
          <w:szCs w:val="24"/>
        </w:rPr>
        <w:t xml:space="preserve"> de la conformation d’une enzyme et son emboitement avec le substrat ainsi que le rôle du pH (tracer le diagramme de prédominance). Illustrer cela avec l’animation du Sirius </w:t>
      </w:r>
      <w:proofErr w:type="spellStart"/>
      <w:r>
        <w:rPr>
          <w:rFonts w:ascii="Garamond" w:hAnsi="Garamond"/>
          <w:sz w:val="24"/>
          <w:szCs w:val="24"/>
        </w:rPr>
        <w:t>Tle</w:t>
      </w:r>
      <w:proofErr w:type="spellEnd"/>
      <w:r>
        <w:rPr>
          <w:rFonts w:ascii="Garamond" w:hAnsi="Garamond"/>
          <w:sz w:val="24"/>
          <w:szCs w:val="24"/>
        </w:rPr>
        <w:t xml:space="preserve"> S récupérable ici : </w:t>
      </w:r>
      <w:hyperlink r:id="rId7" w:history="1">
        <w:r w:rsidR="00D81D0D" w:rsidRPr="00561D27">
          <w:rPr>
            <w:rStyle w:val="Lienhypertexte"/>
            <w:rFonts w:ascii="Garamond" w:hAnsi="Garamond"/>
            <w:sz w:val="24"/>
            <w:szCs w:val="24"/>
          </w:rPr>
          <w:t>http://www.nathan.fr/webapps/cpg2-0/?iddoc=NDM3Njc</w:t>
        </w:r>
      </w:hyperlink>
    </w:p>
    <w:p w:rsidR="00696577" w:rsidRDefault="00696577" w:rsidP="00D81D0D">
      <w:pPr>
        <w:pStyle w:val="Paragraphedeliste"/>
        <w:numPr>
          <w:ilvl w:val="0"/>
          <w:numId w:val="4"/>
        </w:numPr>
        <w:spacing w:after="0" w:line="336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importance</w:t>
      </w:r>
      <w:proofErr w:type="gramEnd"/>
      <w:r>
        <w:rPr>
          <w:rFonts w:ascii="Garamond" w:hAnsi="Garamond"/>
          <w:sz w:val="24"/>
          <w:szCs w:val="24"/>
        </w:rPr>
        <w:t xml:space="preserve"> de l’</w:t>
      </w:r>
      <w:proofErr w:type="spellStart"/>
      <w:r>
        <w:rPr>
          <w:rFonts w:ascii="Garamond" w:hAnsi="Garamond"/>
          <w:sz w:val="24"/>
          <w:szCs w:val="24"/>
        </w:rPr>
        <w:t>énantiomérie</w:t>
      </w:r>
      <w:proofErr w:type="spellEnd"/>
      <w:r>
        <w:rPr>
          <w:rFonts w:ascii="Garamond" w:hAnsi="Garamond"/>
          <w:sz w:val="24"/>
          <w:szCs w:val="24"/>
        </w:rPr>
        <w:t xml:space="preserve"> avec le limonène</w:t>
      </w:r>
      <w:r w:rsidR="00B97B4C">
        <w:rPr>
          <w:rFonts w:ascii="Garamond" w:hAnsi="Garamond"/>
          <w:sz w:val="24"/>
          <w:szCs w:val="24"/>
        </w:rPr>
        <w:t xml:space="preserve"> (préparer les bandelettes avant et faire sentir au jury en leur disant d’amener l’odeur à leur nez)</w:t>
      </w:r>
    </w:p>
    <w:p w:rsidR="00696577" w:rsidRDefault="00B97B4C" w:rsidP="00D81D0D">
      <w:pPr>
        <w:pStyle w:val="Paragraphedeliste"/>
        <w:numPr>
          <w:ilvl w:val="0"/>
          <w:numId w:val="4"/>
        </w:numPr>
        <w:spacing w:after="0" w:line="336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importance</w:t>
      </w:r>
      <w:proofErr w:type="gramEnd"/>
      <w:r>
        <w:rPr>
          <w:rFonts w:ascii="Garamond" w:hAnsi="Garamond"/>
          <w:sz w:val="24"/>
          <w:szCs w:val="24"/>
        </w:rPr>
        <w:t xml:space="preserve"> de la </w:t>
      </w:r>
      <w:proofErr w:type="spellStart"/>
      <w:r>
        <w:rPr>
          <w:rFonts w:ascii="Garamond" w:hAnsi="Garamond"/>
          <w:sz w:val="24"/>
          <w:szCs w:val="24"/>
        </w:rPr>
        <w:t>diastéréo</w:t>
      </w:r>
      <w:proofErr w:type="spellEnd"/>
      <w:r>
        <w:rPr>
          <w:rFonts w:ascii="Garamond" w:hAnsi="Garamond"/>
          <w:sz w:val="24"/>
          <w:szCs w:val="24"/>
        </w:rPr>
        <w:t xml:space="preserve"> Z/E avec le rétinal ou le bombykol</w:t>
      </w:r>
    </w:p>
    <w:p w:rsidR="00B97B4C" w:rsidRDefault="00B97B4C" w:rsidP="00D81D0D">
      <w:pPr>
        <w:pStyle w:val="Paragraphedeliste"/>
        <w:numPr>
          <w:ilvl w:val="0"/>
          <w:numId w:val="4"/>
        </w:numPr>
        <w:spacing w:after="0" w:line="336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importance</w:t>
      </w:r>
      <w:proofErr w:type="gramEnd"/>
      <w:r>
        <w:rPr>
          <w:rFonts w:ascii="Garamond" w:hAnsi="Garamond"/>
          <w:sz w:val="24"/>
          <w:szCs w:val="24"/>
        </w:rPr>
        <w:t xml:space="preserve"> de la </w:t>
      </w:r>
      <w:proofErr w:type="spellStart"/>
      <w:r>
        <w:rPr>
          <w:rFonts w:ascii="Garamond" w:hAnsi="Garamond"/>
          <w:sz w:val="24"/>
          <w:szCs w:val="24"/>
        </w:rPr>
        <w:t>diastéro</w:t>
      </w:r>
      <w:proofErr w:type="spellEnd"/>
      <w:r>
        <w:rPr>
          <w:rFonts w:ascii="Garamond" w:hAnsi="Garamond"/>
          <w:sz w:val="24"/>
          <w:szCs w:val="24"/>
        </w:rPr>
        <w:t xml:space="preserve"> avec 2 C* avec l’acide tartrique</w:t>
      </w:r>
    </w:p>
    <w:p w:rsidR="00696577" w:rsidRDefault="00696577" w:rsidP="00D81D0D">
      <w:pPr>
        <w:pStyle w:val="Paragraphedeliste"/>
        <w:numPr>
          <w:ilvl w:val="0"/>
          <w:numId w:val="1"/>
        </w:numPr>
        <w:spacing w:after="0" w:line="33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Illustrer les conformations particulières de l’éthane avec cette belle animation : </w:t>
      </w:r>
      <w:hyperlink r:id="rId8" w:history="1">
        <w:r w:rsidRPr="00561D27">
          <w:rPr>
            <w:rStyle w:val="Lienhypertexte"/>
            <w:rFonts w:ascii="Garamond" w:hAnsi="Garamond"/>
            <w:sz w:val="24"/>
            <w:szCs w:val="24"/>
          </w:rPr>
          <w:t>http://www.ostralo.net/3_animations/swf/conformation.swf</w:t>
        </w:r>
      </w:hyperlink>
    </w:p>
    <w:p w:rsidR="00B97B4C" w:rsidRDefault="00B97B4C" w:rsidP="00D81D0D">
      <w:pPr>
        <w:pStyle w:val="Paragraphedeliste"/>
        <w:numPr>
          <w:ilvl w:val="0"/>
          <w:numId w:val="1"/>
        </w:numPr>
        <w:spacing w:after="0" w:line="33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Préparer la CCM avant pour illustrer les mêmes propriét</w:t>
      </w:r>
      <w:r w:rsidR="00812FAC">
        <w:rPr>
          <w:rFonts w:ascii="Garamond" w:hAnsi="Garamond"/>
          <w:sz w:val="24"/>
          <w:szCs w:val="24"/>
        </w:rPr>
        <w:t>é</w:t>
      </w:r>
      <w:r>
        <w:rPr>
          <w:rFonts w:ascii="Garamond" w:hAnsi="Garamond"/>
          <w:sz w:val="24"/>
          <w:szCs w:val="24"/>
        </w:rPr>
        <w:t xml:space="preserve">s chimiques de 2 </w:t>
      </w:r>
      <w:proofErr w:type="spellStart"/>
      <w:r>
        <w:rPr>
          <w:rFonts w:ascii="Garamond" w:hAnsi="Garamond"/>
          <w:sz w:val="24"/>
          <w:szCs w:val="24"/>
        </w:rPr>
        <w:t>enantio</w:t>
      </w:r>
      <w:proofErr w:type="spellEnd"/>
      <w:r>
        <w:rPr>
          <w:rFonts w:ascii="Garamond" w:hAnsi="Garamond"/>
          <w:sz w:val="24"/>
          <w:szCs w:val="24"/>
        </w:rPr>
        <w:t>. Ne faire que la révélation devant le jury.</w:t>
      </w:r>
    </w:p>
    <w:p w:rsidR="00812FAC" w:rsidRDefault="00812FAC" w:rsidP="00D81D0D">
      <w:pPr>
        <w:pStyle w:val="Paragraphedeliste"/>
        <w:numPr>
          <w:ilvl w:val="0"/>
          <w:numId w:val="1"/>
        </w:numPr>
        <w:spacing w:after="0" w:line="336" w:lineRule="auto"/>
        <w:jc w:val="both"/>
        <w:rPr>
          <w:rFonts w:ascii="Garamond" w:hAnsi="Garamond"/>
          <w:sz w:val="24"/>
          <w:szCs w:val="24"/>
        </w:rPr>
      </w:pPr>
      <w:r w:rsidRPr="00812FAC">
        <w:rPr>
          <w:rFonts w:ascii="Garamond" w:hAnsi="Garamond"/>
          <w:sz w:val="24"/>
          <w:szCs w:val="24"/>
        </w:rPr>
        <w:t>Montrer les d</w:t>
      </w:r>
      <w:r>
        <w:rPr>
          <w:rFonts w:ascii="Garamond" w:hAnsi="Garamond"/>
          <w:sz w:val="24"/>
          <w:szCs w:val="24"/>
        </w:rPr>
        <w:t xml:space="preserve">ifférences de </w:t>
      </w:r>
      <w:proofErr w:type="spellStart"/>
      <w:r>
        <w:rPr>
          <w:rFonts w:ascii="Garamond" w:hAnsi="Garamond"/>
          <w:sz w:val="24"/>
          <w:szCs w:val="24"/>
        </w:rPr>
        <w:t>prop</w:t>
      </w:r>
      <w:proofErr w:type="spellEnd"/>
      <w:r w:rsidR="00D81D0D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physico-chim</w:t>
      </w:r>
      <w:r w:rsidRPr="00812FAC">
        <w:rPr>
          <w:rFonts w:ascii="Garamond" w:hAnsi="Garamond"/>
          <w:sz w:val="24"/>
          <w:szCs w:val="24"/>
        </w:rPr>
        <w:t xml:space="preserve">iques de 2 </w:t>
      </w:r>
      <w:proofErr w:type="spellStart"/>
      <w:r w:rsidRPr="00812FAC">
        <w:rPr>
          <w:rFonts w:ascii="Garamond" w:hAnsi="Garamond"/>
          <w:sz w:val="24"/>
          <w:szCs w:val="24"/>
        </w:rPr>
        <w:t>diastéréo</w:t>
      </w:r>
      <w:proofErr w:type="spellEnd"/>
      <w:r w:rsidRPr="00812FAC">
        <w:rPr>
          <w:rFonts w:ascii="Garamond" w:hAnsi="Garamond"/>
          <w:sz w:val="24"/>
          <w:szCs w:val="24"/>
        </w:rPr>
        <w:t xml:space="preserve"> en préparant une solution d’acide maléique avec</w:t>
      </w:r>
      <w:r w:rsidRPr="00812FAC">
        <w:rPr>
          <w:rFonts w:ascii="Garamond" w:hAnsi="Garamond"/>
          <w:sz w:val="24"/>
          <w:szCs w:val="24"/>
        </w:rPr>
        <w:t xml:space="preserve"> 3 g d’acide </w:t>
      </w:r>
      <w:proofErr w:type="spellStart"/>
      <w:r w:rsidRPr="00812FAC">
        <w:rPr>
          <w:rFonts w:ascii="Garamond" w:hAnsi="Garamond"/>
          <w:sz w:val="24"/>
          <w:szCs w:val="24"/>
        </w:rPr>
        <w:t>maléïque</w:t>
      </w:r>
      <w:proofErr w:type="spellEnd"/>
      <w:r w:rsidRPr="00812FAC">
        <w:rPr>
          <w:rFonts w:ascii="Garamond" w:hAnsi="Garamond"/>
          <w:sz w:val="24"/>
          <w:szCs w:val="24"/>
        </w:rPr>
        <w:t xml:space="preserve"> dans 20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812FAC">
        <w:rPr>
          <w:rFonts w:ascii="Garamond" w:hAnsi="Garamond"/>
          <w:sz w:val="24"/>
          <w:szCs w:val="24"/>
        </w:rPr>
        <w:t>mL</w:t>
      </w:r>
      <w:proofErr w:type="spellEnd"/>
      <w:r w:rsidRPr="00812FAC">
        <w:rPr>
          <w:rFonts w:ascii="Garamond" w:hAnsi="Garamond"/>
          <w:sz w:val="24"/>
          <w:szCs w:val="24"/>
        </w:rPr>
        <w:t xml:space="preserve"> d’eau. Ajouter quelques gouttes d’eau de </w:t>
      </w:r>
      <w:proofErr w:type="spellStart"/>
      <w:r w:rsidRPr="00812FAC">
        <w:rPr>
          <w:rFonts w:ascii="Garamond" w:hAnsi="Garamond"/>
          <w:sz w:val="24"/>
          <w:szCs w:val="24"/>
        </w:rPr>
        <w:t>dibrome</w:t>
      </w:r>
      <w:proofErr w:type="spellEnd"/>
      <w:r w:rsidRPr="00812FAC">
        <w:rPr>
          <w:rFonts w:ascii="Garamond" w:hAnsi="Garamond"/>
          <w:sz w:val="24"/>
          <w:szCs w:val="24"/>
        </w:rPr>
        <w:t>.</w:t>
      </w:r>
      <w:r w:rsidRPr="00812FAC">
        <w:rPr>
          <w:rFonts w:ascii="Garamond" w:hAnsi="Garamond"/>
          <w:sz w:val="24"/>
          <w:szCs w:val="24"/>
        </w:rPr>
        <w:t xml:space="preserve"> Laisser 15 min environ sous la lampe UV (entre 254 et 280 nm).</w:t>
      </w:r>
      <w:r>
        <w:rPr>
          <w:rFonts w:ascii="Garamond" w:hAnsi="Garamond"/>
          <w:sz w:val="24"/>
          <w:szCs w:val="24"/>
        </w:rPr>
        <w:t xml:space="preserve"> Le protocole doit se trouver facilement dans un livre de 1</w:t>
      </w:r>
      <w:r w:rsidRPr="00812FAC">
        <w:rPr>
          <w:rFonts w:ascii="Garamond" w:hAnsi="Garamond"/>
          <w:sz w:val="24"/>
          <w:szCs w:val="24"/>
          <w:vertAlign w:val="superscript"/>
        </w:rPr>
        <w:t>ère</w:t>
      </w:r>
      <w:r>
        <w:rPr>
          <w:rFonts w:ascii="Garamond" w:hAnsi="Garamond"/>
          <w:sz w:val="24"/>
          <w:szCs w:val="24"/>
        </w:rPr>
        <w:t xml:space="preserve"> S.</w:t>
      </w:r>
    </w:p>
    <w:p w:rsidR="00812FAC" w:rsidRPr="00812FAC" w:rsidRDefault="00812FAC" w:rsidP="00D81D0D">
      <w:pPr>
        <w:pStyle w:val="Paragraphedeliste"/>
        <w:numPr>
          <w:ilvl w:val="0"/>
          <w:numId w:val="1"/>
        </w:numPr>
        <w:spacing w:after="0" w:line="33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Pour le dosage, plutôt que faire une colorimétrie qui n’apporte rien au but recherché (trouver les </w:t>
      </w:r>
      <w:proofErr w:type="spellStart"/>
      <w:r>
        <w:rPr>
          <w:rFonts w:ascii="Garamond" w:hAnsi="Garamond"/>
          <w:sz w:val="24"/>
          <w:szCs w:val="24"/>
        </w:rPr>
        <w:t>pK</w:t>
      </w:r>
      <w:r w:rsidRPr="00812FAC">
        <w:rPr>
          <w:rFonts w:ascii="Garamond" w:hAnsi="Garamond"/>
          <w:sz w:val="24"/>
          <w:szCs w:val="24"/>
          <w:vertAlign w:val="subscript"/>
        </w:rPr>
        <w:t>A</w:t>
      </w:r>
      <w:proofErr w:type="spellEnd"/>
      <w:r>
        <w:rPr>
          <w:rFonts w:ascii="Garamond" w:hAnsi="Garamond"/>
          <w:sz w:val="24"/>
          <w:szCs w:val="24"/>
        </w:rPr>
        <w:t>), refaire quelques points d’une des courbes en pH-métrie devant le jury.</w:t>
      </w:r>
    </w:p>
    <w:p w:rsidR="00220F2A" w:rsidRDefault="00812FAC" w:rsidP="00D81D0D">
      <w:pPr>
        <w:pStyle w:val="Paragraphedeliste"/>
        <w:numPr>
          <w:ilvl w:val="0"/>
          <w:numId w:val="3"/>
        </w:numPr>
        <w:spacing w:after="0" w:line="33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Prévoir de répondre aux questions sur l’interprétation</w:t>
      </w:r>
      <w:r w:rsidR="00220F2A" w:rsidRPr="00904F50">
        <w:rPr>
          <w:rFonts w:ascii="Garamond" w:hAnsi="Garamond"/>
          <w:sz w:val="24"/>
          <w:szCs w:val="24"/>
        </w:rPr>
        <w:t xml:space="preserve"> à l’échelle moléculaire </w:t>
      </w:r>
      <w:r>
        <w:rPr>
          <w:rFonts w:ascii="Garamond" w:hAnsi="Garamond"/>
          <w:sz w:val="24"/>
          <w:szCs w:val="24"/>
        </w:rPr>
        <w:t>d</w:t>
      </w:r>
      <w:r w:rsidR="00220F2A" w:rsidRPr="00904F50">
        <w:rPr>
          <w:rFonts w:ascii="Garamond" w:hAnsi="Garamond"/>
          <w:sz w:val="24"/>
          <w:szCs w:val="24"/>
        </w:rPr>
        <w:t>es différences de Tf (liaisons H intra/inter)</w:t>
      </w:r>
      <w:r>
        <w:rPr>
          <w:rFonts w:ascii="Garamond" w:hAnsi="Garamond"/>
          <w:sz w:val="24"/>
          <w:szCs w:val="24"/>
        </w:rPr>
        <w:t>,</w:t>
      </w:r>
      <w:r w:rsidR="00220F2A" w:rsidRPr="00904F50">
        <w:rPr>
          <w:rFonts w:ascii="Garamond" w:hAnsi="Garamond"/>
          <w:sz w:val="24"/>
          <w:szCs w:val="24"/>
        </w:rPr>
        <w:t xml:space="preserve"> de solubilité (moments dipolaires) </w:t>
      </w:r>
      <w:r>
        <w:rPr>
          <w:rFonts w:ascii="Garamond" w:hAnsi="Garamond"/>
          <w:sz w:val="24"/>
          <w:szCs w:val="24"/>
        </w:rPr>
        <w:t xml:space="preserve">et de </w:t>
      </w:r>
      <w:proofErr w:type="spellStart"/>
      <w:r>
        <w:rPr>
          <w:rFonts w:ascii="Garamond" w:hAnsi="Garamond"/>
          <w:sz w:val="24"/>
          <w:szCs w:val="24"/>
        </w:rPr>
        <w:t>pK</w:t>
      </w:r>
      <w:r w:rsidRPr="00812FAC">
        <w:rPr>
          <w:rFonts w:ascii="Garamond" w:hAnsi="Garamond"/>
          <w:sz w:val="24"/>
          <w:szCs w:val="24"/>
          <w:vertAlign w:val="subscript"/>
        </w:rPr>
        <w:t>A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904F50" w:rsidRDefault="00904F50" w:rsidP="00D81D0D">
      <w:pPr>
        <w:pStyle w:val="Paragraphedeliste"/>
        <w:spacing w:after="0" w:line="336" w:lineRule="auto"/>
        <w:jc w:val="both"/>
        <w:rPr>
          <w:rFonts w:ascii="Garamond" w:hAnsi="Garamond"/>
          <w:sz w:val="24"/>
          <w:szCs w:val="24"/>
        </w:rPr>
      </w:pPr>
    </w:p>
    <w:p w:rsidR="00904F50" w:rsidRPr="00904F50" w:rsidRDefault="00904F50" w:rsidP="00D81D0D">
      <w:pPr>
        <w:spacing w:line="360" w:lineRule="auto"/>
        <w:jc w:val="right"/>
        <w:rPr>
          <w:rFonts w:ascii="Garamond" w:hAnsi="Garamond"/>
          <w:sz w:val="24"/>
          <w:szCs w:val="24"/>
        </w:rPr>
      </w:pPr>
      <w:r w:rsidRPr="00904F50">
        <w:rPr>
          <w:rFonts w:ascii="Garamond" w:hAnsi="Garamond"/>
          <w:sz w:val="24"/>
          <w:szCs w:val="24"/>
        </w:rPr>
        <w:t>Aurélien NOIR.</w:t>
      </w:r>
    </w:p>
    <w:sectPr w:rsidR="00904F50" w:rsidRPr="00904F50" w:rsidSect="00D81D0D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4B4" w:rsidRDefault="009224B4" w:rsidP="00904F50">
      <w:pPr>
        <w:spacing w:after="0" w:line="240" w:lineRule="auto"/>
      </w:pPr>
      <w:r>
        <w:separator/>
      </w:r>
    </w:p>
  </w:endnote>
  <w:endnote w:type="continuationSeparator" w:id="0">
    <w:p w:rsidR="009224B4" w:rsidRDefault="009224B4" w:rsidP="0090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4B4" w:rsidRDefault="009224B4" w:rsidP="00904F50">
      <w:pPr>
        <w:spacing w:after="0" w:line="240" w:lineRule="auto"/>
      </w:pPr>
      <w:r>
        <w:separator/>
      </w:r>
    </w:p>
  </w:footnote>
  <w:footnote w:type="continuationSeparator" w:id="0">
    <w:p w:rsidR="009224B4" w:rsidRDefault="009224B4" w:rsidP="0090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F50" w:rsidRPr="008E28F5" w:rsidRDefault="00904F50" w:rsidP="00904F50">
    <w:pPr>
      <w:jc w:val="center"/>
      <w:rPr>
        <w:rFonts w:ascii="Garamond" w:hAnsi="Garamond"/>
        <w:b/>
        <w:sz w:val="32"/>
        <w:szCs w:val="32"/>
      </w:rPr>
    </w:pPr>
    <w:r w:rsidRPr="008E28F5">
      <w:rPr>
        <w:rFonts w:ascii="Garamond" w:hAnsi="Garamond"/>
        <w:b/>
        <w:sz w:val="32"/>
        <w:szCs w:val="32"/>
      </w:rPr>
      <w:t>L</w:t>
    </w:r>
    <w:r w:rsidR="002A2C38">
      <w:rPr>
        <w:rFonts w:ascii="Garamond" w:hAnsi="Garamond"/>
        <w:b/>
        <w:sz w:val="32"/>
        <w:szCs w:val="32"/>
      </w:rPr>
      <w:t>C</w:t>
    </w:r>
    <w:r w:rsidR="001F6F41">
      <w:rPr>
        <w:rFonts w:ascii="Garamond" w:hAnsi="Garamond"/>
        <w:b/>
        <w:sz w:val="32"/>
        <w:szCs w:val="32"/>
      </w:rPr>
      <w:t>13</w:t>
    </w:r>
    <w:r w:rsidRPr="008E28F5">
      <w:rPr>
        <w:rFonts w:ascii="Garamond" w:hAnsi="Garamond"/>
        <w:b/>
        <w:sz w:val="32"/>
        <w:szCs w:val="32"/>
      </w:rPr>
      <w:t> : Stéréo</w:t>
    </w:r>
    <w:r w:rsidR="001F6F41">
      <w:rPr>
        <w:rFonts w:ascii="Garamond" w:hAnsi="Garamond"/>
        <w:b/>
        <w:sz w:val="32"/>
        <w:szCs w:val="32"/>
      </w:rPr>
      <w:t>chimie et molécules du vivant</w:t>
    </w:r>
  </w:p>
  <w:p w:rsidR="00904F50" w:rsidRPr="00904F50" w:rsidRDefault="00904F50" w:rsidP="00904F50">
    <w:pPr>
      <w:jc w:val="both"/>
      <w:rPr>
        <w:rFonts w:ascii="Garamond" w:hAnsi="Garamond"/>
        <w:i/>
        <w:sz w:val="24"/>
        <w:szCs w:val="24"/>
      </w:rPr>
    </w:pPr>
    <w:r>
      <w:rPr>
        <w:rFonts w:ascii="Garamond" w:hAnsi="Garamond"/>
        <w:i/>
        <w:sz w:val="24"/>
        <w:szCs w:val="24"/>
      </w:rPr>
      <w:t xml:space="preserve">Le </w:t>
    </w:r>
    <w:r w:rsidR="001F6F41">
      <w:rPr>
        <w:rFonts w:ascii="Garamond" w:hAnsi="Garamond"/>
        <w:i/>
        <w:sz w:val="24"/>
        <w:szCs w:val="24"/>
      </w:rPr>
      <w:t>24</w:t>
    </w:r>
    <w:r>
      <w:rPr>
        <w:rFonts w:ascii="Garamond" w:hAnsi="Garamond"/>
        <w:i/>
        <w:sz w:val="24"/>
        <w:szCs w:val="24"/>
      </w:rPr>
      <w:t>/10/17</w:t>
    </w:r>
    <w:r w:rsidRPr="00904F50">
      <w:rPr>
        <w:rFonts w:ascii="Garamond" w:hAnsi="Garamond"/>
        <w:i/>
        <w:sz w:val="24"/>
        <w:szCs w:val="24"/>
      </w:rPr>
      <w:t xml:space="preserve"> </w:t>
    </w:r>
    <w:r>
      <w:rPr>
        <w:rFonts w:ascii="Garamond" w:hAnsi="Garamond"/>
        <w:i/>
        <w:sz w:val="24"/>
        <w:szCs w:val="24"/>
      </w:rPr>
      <w:tab/>
    </w:r>
    <w:r>
      <w:rPr>
        <w:rFonts w:ascii="Garamond" w:hAnsi="Garamond"/>
        <w:i/>
        <w:sz w:val="24"/>
        <w:szCs w:val="24"/>
      </w:rPr>
      <w:tab/>
    </w:r>
    <w:r>
      <w:rPr>
        <w:rFonts w:ascii="Garamond" w:hAnsi="Garamond"/>
        <w:i/>
        <w:sz w:val="24"/>
        <w:szCs w:val="24"/>
      </w:rPr>
      <w:tab/>
    </w:r>
    <w:r>
      <w:rPr>
        <w:rFonts w:ascii="Garamond" w:hAnsi="Garamond"/>
        <w:i/>
        <w:sz w:val="24"/>
        <w:szCs w:val="24"/>
      </w:rPr>
      <w:tab/>
    </w:r>
    <w:r>
      <w:rPr>
        <w:rFonts w:ascii="Garamond" w:hAnsi="Garamond"/>
        <w:i/>
        <w:sz w:val="24"/>
        <w:szCs w:val="24"/>
      </w:rPr>
      <w:tab/>
    </w:r>
    <w:r>
      <w:rPr>
        <w:rFonts w:ascii="Garamond" w:hAnsi="Garamond"/>
        <w:i/>
        <w:sz w:val="24"/>
        <w:szCs w:val="24"/>
      </w:rPr>
      <w:tab/>
    </w:r>
    <w:r w:rsidR="001F6F41">
      <w:rPr>
        <w:rFonts w:ascii="Garamond" w:hAnsi="Garamond"/>
        <w:i/>
        <w:sz w:val="24"/>
        <w:szCs w:val="24"/>
      </w:rPr>
      <w:tab/>
    </w:r>
    <w:r w:rsidRPr="00904F50">
      <w:rPr>
        <w:rFonts w:ascii="Garamond" w:hAnsi="Garamond"/>
        <w:i/>
        <w:sz w:val="24"/>
        <w:szCs w:val="24"/>
      </w:rPr>
      <w:t xml:space="preserve">Présentée par </w:t>
    </w:r>
    <w:r w:rsidR="001F6F41">
      <w:rPr>
        <w:rFonts w:ascii="Garamond" w:hAnsi="Garamond"/>
        <w:i/>
        <w:sz w:val="24"/>
        <w:szCs w:val="24"/>
      </w:rPr>
      <w:t>Lucas RENEUVE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D7AC8"/>
    <w:multiLevelType w:val="hybridMultilevel"/>
    <w:tmpl w:val="CCCC3660"/>
    <w:lvl w:ilvl="0" w:tplc="9C18C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27CB9"/>
    <w:multiLevelType w:val="hybridMultilevel"/>
    <w:tmpl w:val="1C0093C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773D14"/>
    <w:multiLevelType w:val="hybridMultilevel"/>
    <w:tmpl w:val="E2D6F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6214A"/>
    <w:multiLevelType w:val="hybridMultilevel"/>
    <w:tmpl w:val="B1DAA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6BE"/>
    <w:rsid w:val="000E3C4A"/>
    <w:rsid w:val="00166CEE"/>
    <w:rsid w:val="001F6F41"/>
    <w:rsid w:val="00220F2A"/>
    <w:rsid w:val="002A2C38"/>
    <w:rsid w:val="004B6EC5"/>
    <w:rsid w:val="004D02B6"/>
    <w:rsid w:val="00604822"/>
    <w:rsid w:val="00696577"/>
    <w:rsid w:val="007A15F0"/>
    <w:rsid w:val="007A1BD1"/>
    <w:rsid w:val="00806596"/>
    <w:rsid w:val="00812FAC"/>
    <w:rsid w:val="00872CC8"/>
    <w:rsid w:val="008E28F5"/>
    <w:rsid w:val="00904F50"/>
    <w:rsid w:val="009224B4"/>
    <w:rsid w:val="0093560A"/>
    <w:rsid w:val="00AA3C96"/>
    <w:rsid w:val="00B96983"/>
    <w:rsid w:val="00B97B4C"/>
    <w:rsid w:val="00BD05D1"/>
    <w:rsid w:val="00D036BE"/>
    <w:rsid w:val="00D17CDB"/>
    <w:rsid w:val="00D81D0D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88A7"/>
  <w15:docId w15:val="{1D2019D7-11C1-4936-8269-44043D30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C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36B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036B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6B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E28F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0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4F50"/>
  </w:style>
  <w:style w:type="paragraph" w:styleId="Pieddepage">
    <w:name w:val="footer"/>
    <w:basedOn w:val="Normal"/>
    <w:link w:val="PieddepageCar"/>
    <w:uiPriority w:val="99"/>
    <w:unhideWhenUsed/>
    <w:rsid w:val="0090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4F50"/>
  </w:style>
  <w:style w:type="character" w:styleId="Mentionnonrsolue">
    <w:name w:val="Unresolved Mention"/>
    <w:basedOn w:val="Policepardfaut"/>
    <w:uiPriority w:val="99"/>
    <w:semiHidden/>
    <w:unhideWhenUsed/>
    <w:rsid w:val="00B969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lo.net/3_animations/swf/conformation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han.fr/webapps/cpg2-0/?iddoc=NDM3Nj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752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noira</dc:creator>
  <cp:lastModifiedBy>Shade</cp:lastModifiedBy>
  <cp:revision>3</cp:revision>
  <dcterms:created xsi:type="dcterms:W3CDTF">2017-10-25T09:45:00Z</dcterms:created>
  <dcterms:modified xsi:type="dcterms:W3CDTF">2017-10-25T10:38:00Z</dcterms:modified>
</cp:coreProperties>
</file>