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ACF2" w14:textId="7B0FC4FF" w:rsidR="004F2147" w:rsidRDefault="00F95DB1">
      <w:r>
        <w:t>Dans ce thème on retrouve des concepts de L1 assez descriptifs, avec des exemples ayant attrait davantage à la chimie expérimentale. Et des concepts plus poussé sur l’optimisation des conditions pour les colonnes de chromatographie.</w:t>
      </w:r>
    </w:p>
    <w:sectPr w:rsidR="004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1"/>
    <w:rsid w:val="004F2147"/>
    <w:rsid w:val="00F9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43190"/>
  <w15:chartTrackingRefBased/>
  <w15:docId w15:val="{E7419BFD-3E02-41D9-8461-11A9A7CD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2021-04-28T19:24:00Z</dcterms:created>
  <dcterms:modified xsi:type="dcterms:W3CDTF">2021-04-28T19:27:00Z</dcterms:modified>
</cp:coreProperties>
</file>