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26A6CE" w14:textId="02DF7261" w:rsidR="004F2147" w:rsidRDefault="007E2EDB" w:rsidP="007E2EDB">
      <w:pPr>
        <w:jc w:val="center"/>
        <w:rPr>
          <w:b/>
          <w:bCs/>
          <w:u w:val="single"/>
        </w:rPr>
      </w:pPr>
      <w:r w:rsidRPr="007E2EDB">
        <w:rPr>
          <w:b/>
          <w:bCs/>
          <w:u w:val="single"/>
        </w:rPr>
        <w:t>MC10 : base de données en chimie expérimentale</w:t>
      </w:r>
    </w:p>
    <w:p w14:paraId="5133A118" w14:textId="44B7F5DB" w:rsidR="007E2EDB" w:rsidRDefault="007E2EDB" w:rsidP="007E2EDB">
      <w:pPr>
        <w:jc w:val="center"/>
        <w:rPr>
          <w:b/>
          <w:bCs/>
          <w:u w:val="single"/>
        </w:rPr>
      </w:pPr>
    </w:p>
    <w:p w14:paraId="0FA07852" w14:textId="77777777" w:rsidR="007E2EDB" w:rsidRPr="00872A30" w:rsidRDefault="007E2EDB" w:rsidP="007E2EDB">
      <w:pPr>
        <w:spacing w:before="240" w:after="240" w:line="240" w:lineRule="auto"/>
        <w:rPr>
          <w:rFonts w:ascii="Times New Roman" w:eastAsia="Times New Roman" w:hAnsi="Times New Roman" w:cs="Times New Roman"/>
          <w:sz w:val="24"/>
          <w:szCs w:val="24"/>
          <w:lang w:eastAsia="fr-FR"/>
        </w:rPr>
      </w:pPr>
      <w:r>
        <w:rPr>
          <w:b/>
          <w:bCs/>
          <w:u w:val="single"/>
        </w:rPr>
        <w:t xml:space="preserve">Biblio : </w:t>
      </w:r>
      <w:r>
        <w:rPr>
          <w:rFonts w:ascii="Arial" w:eastAsia="Times New Roman" w:hAnsi="Arial" w:cs="Arial"/>
          <w:color w:val="000000"/>
          <w:sz w:val="24"/>
          <w:szCs w:val="24"/>
          <w:lang w:eastAsia="fr-FR"/>
        </w:rPr>
        <w:t>Travaux pratique de Chimie-&gt; de l’expérience à l’interprétation. P13.</w:t>
      </w:r>
    </w:p>
    <w:p w14:paraId="1B988D4E" w14:textId="128AC75B" w:rsidR="007E2EDB" w:rsidRDefault="007E2EDB" w:rsidP="007E2EDB">
      <w:pPr>
        <w:spacing w:before="240" w:after="240" w:line="240" w:lineRule="auto"/>
        <w:rPr>
          <w:rFonts w:ascii="Arial" w:eastAsia="Times New Roman" w:hAnsi="Arial" w:cs="Arial"/>
          <w:color w:val="000000"/>
          <w:sz w:val="24"/>
          <w:szCs w:val="24"/>
          <w:lang w:eastAsia="fr-FR"/>
        </w:rPr>
      </w:pPr>
      <w:r w:rsidRPr="007E2EDB">
        <w:tab/>
      </w:r>
      <w:r>
        <w:rPr>
          <w:rFonts w:ascii="Arial" w:eastAsia="Times New Roman" w:hAnsi="Arial" w:cs="Arial"/>
          <w:color w:val="000000"/>
          <w:sz w:val="24"/>
          <w:szCs w:val="24"/>
          <w:lang w:eastAsia="fr-FR"/>
        </w:rPr>
        <w:t>Gruber p 403</w:t>
      </w:r>
    </w:p>
    <w:p w14:paraId="710E9B8A" w14:textId="682DD4CE" w:rsidR="007E2EDB" w:rsidRDefault="007E2EDB" w:rsidP="007E2EDB">
      <w:pPr>
        <w:spacing w:before="240" w:after="240" w:line="240" w:lineRule="auto"/>
        <w:rPr>
          <w:rFonts w:ascii="Arial" w:eastAsia="Times New Roman" w:hAnsi="Arial" w:cs="Arial"/>
          <w:color w:val="000000"/>
          <w:sz w:val="24"/>
          <w:szCs w:val="24"/>
          <w:lang w:eastAsia="fr-FR"/>
        </w:rPr>
      </w:pPr>
      <w:r>
        <w:rPr>
          <w:rFonts w:ascii="Times New Roman" w:eastAsia="Times New Roman" w:hAnsi="Times New Roman" w:cs="Times New Roman"/>
          <w:sz w:val="24"/>
          <w:szCs w:val="24"/>
          <w:lang w:eastAsia="fr-FR"/>
        </w:rPr>
        <w:tab/>
      </w:r>
      <w:proofErr w:type="spellStart"/>
      <w:r>
        <w:rPr>
          <w:rFonts w:ascii="Arial" w:eastAsia="Times New Roman" w:hAnsi="Arial" w:cs="Arial"/>
          <w:color w:val="000000"/>
          <w:sz w:val="24"/>
          <w:szCs w:val="24"/>
          <w:lang w:eastAsia="fr-FR"/>
        </w:rPr>
        <w:t>Cachau</w:t>
      </w:r>
      <w:proofErr w:type="spellEnd"/>
      <w:r>
        <w:rPr>
          <w:rFonts w:ascii="Arial" w:eastAsia="Times New Roman" w:hAnsi="Arial" w:cs="Arial"/>
          <w:color w:val="000000"/>
          <w:sz w:val="24"/>
          <w:szCs w:val="24"/>
          <w:lang w:eastAsia="fr-FR"/>
        </w:rPr>
        <w:t xml:space="preserve"> p 337, p 391</w:t>
      </w:r>
    </w:p>
    <w:p w14:paraId="00C32EA3" w14:textId="77777777" w:rsidR="007E2EDB" w:rsidRPr="007E2EDB" w:rsidRDefault="007E2EDB" w:rsidP="007E2EDB">
      <w:pPr>
        <w:rPr>
          <w:sz w:val="24"/>
          <w:szCs w:val="24"/>
        </w:rPr>
      </w:pPr>
      <w:r>
        <w:rPr>
          <w:rFonts w:ascii="Arial" w:eastAsia="Times New Roman" w:hAnsi="Arial" w:cs="Arial"/>
          <w:color w:val="000000"/>
          <w:sz w:val="24"/>
          <w:szCs w:val="24"/>
          <w:lang w:eastAsia="fr-FR"/>
        </w:rPr>
        <w:tab/>
      </w:r>
      <w:proofErr w:type="spellStart"/>
      <w:r w:rsidRPr="007E2EDB">
        <w:rPr>
          <w:sz w:val="24"/>
          <w:szCs w:val="24"/>
        </w:rPr>
        <w:t>Daumarie</w:t>
      </w:r>
      <w:proofErr w:type="spellEnd"/>
      <w:r w:rsidRPr="007E2EDB">
        <w:rPr>
          <w:sz w:val="24"/>
          <w:szCs w:val="24"/>
        </w:rPr>
        <w:t xml:space="preserve"> (nouvelle édition p 157)</w:t>
      </w:r>
    </w:p>
    <w:p w14:paraId="4149D4BB" w14:textId="5AE0D86A" w:rsidR="007E2EDB" w:rsidRPr="00394FB4" w:rsidRDefault="007E2EDB" w:rsidP="007E2EDB">
      <w:pPr>
        <w:spacing w:before="240" w:after="240" w:line="240" w:lineRule="auto"/>
        <w:rPr>
          <w:rFonts w:ascii="Times New Roman" w:eastAsia="Times New Roman" w:hAnsi="Times New Roman" w:cs="Times New Roman"/>
          <w:sz w:val="24"/>
          <w:szCs w:val="24"/>
          <w:lang w:eastAsia="fr-FR"/>
        </w:rPr>
      </w:pPr>
    </w:p>
    <w:p w14:paraId="605F9EC2" w14:textId="1F73DB24" w:rsidR="007E2EDB" w:rsidRDefault="007E2EDB" w:rsidP="007E2EDB">
      <w:r>
        <w:rPr>
          <w:b/>
          <w:bCs/>
          <w:u w:val="single"/>
        </w:rPr>
        <w:t>Remarque </w:t>
      </w:r>
      <w:r w:rsidRPr="007E2EDB">
        <w:t>: Le montage a été effectué en un minimum de préparation, le plan, l’introduction, les transitions et la conclusion ne sont donc pas aussi élaboré que d’autres montage passé au début de l’année.</w:t>
      </w:r>
    </w:p>
    <w:p w14:paraId="3AAAC23B" w14:textId="0F50E117" w:rsidR="007E2EDB" w:rsidRDefault="007E2EDB" w:rsidP="007E2EDB">
      <w:r>
        <w:t xml:space="preserve">La définition de base de </w:t>
      </w:r>
      <w:r w:rsidR="00356D0A">
        <w:t>données</w:t>
      </w:r>
      <w:r>
        <w:t xml:space="preserve"> devrait être plus personnelle car celle d’internet n’inclue pas </w:t>
      </w:r>
      <w:r w:rsidR="00356D0A">
        <w:t>les bouquins</w:t>
      </w:r>
      <w:r>
        <w:t>.</w:t>
      </w:r>
    </w:p>
    <w:p w14:paraId="2CD7EB3A" w14:textId="02FDA49C" w:rsidR="00356D0A" w:rsidRDefault="00356D0A" w:rsidP="007E2EDB">
      <w:r>
        <w:t>Un aspect un peu sous-exploité a été le lien entre le scientifique et les bases de données. Le scientifique a besoin quand même d’une certaine connaissance et les BDD en sont une extension.</w:t>
      </w:r>
    </w:p>
    <w:p w14:paraId="0A4A0B6D" w14:textId="55A50334" w:rsidR="007E2EDB" w:rsidRDefault="007E2EDB" w:rsidP="007E2EDB"/>
    <w:p w14:paraId="3678BAFB" w14:textId="5B7D7FAE" w:rsidR="007E2EDB" w:rsidRDefault="007E2EDB" w:rsidP="007E2EDB">
      <w:pPr>
        <w:rPr>
          <w:b/>
          <w:bCs/>
          <w:u w:val="single"/>
        </w:rPr>
      </w:pPr>
      <w:r w:rsidRPr="007E2EDB">
        <w:rPr>
          <w:b/>
          <w:bCs/>
          <w:u w:val="single"/>
        </w:rPr>
        <w:t>Introduction :</w:t>
      </w:r>
    </w:p>
    <w:p w14:paraId="78981272" w14:textId="48E5663A" w:rsidR="007E2EDB" w:rsidRPr="00356D0A" w:rsidRDefault="007E2EDB" w:rsidP="007E2EDB">
      <w:r w:rsidRPr="00356D0A">
        <w:t>Défin</w:t>
      </w:r>
      <w:r w:rsidR="00356D0A" w:rsidRPr="00356D0A">
        <w:t>i</w:t>
      </w:r>
      <w:r w:rsidRPr="00356D0A">
        <w:t>tion : BBD-&gt;ensemble d’infos structuré au moyen d’un logiciel.</w:t>
      </w:r>
    </w:p>
    <w:p w14:paraId="679778FE" w14:textId="7D21FD07" w:rsidR="007E2EDB" w:rsidRPr="00356D0A" w:rsidRDefault="007E2EDB" w:rsidP="007E2EDB">
      <w:pPr>
        <w:pStyle w:val="Paragraphedeliste"/>
        <w:numPr>
          <w:ilvl w:val="0"/>
          <w:numId w:val="1"/>
        </w:numPr>
      </w:pPr>
      <w:r w:rsidRPr="00356D0A">
        <w:t>Pour nous plus large  on enlève logiciel.</w:t>
      </w:r>
    </w:p>
    <w:p w14:paraId="1BF4E68A" w14:textId="73BAF318" w:rsidR="007E2EDB" w:rsidRPr="00356D0A" w:rsidRDefault="007E2EDB" w:rsidP="007E2EDB">
      <w:r w:rsidRPr="00356D0A">
        <w:t xml:space="preserve">En générale on pense naturellement en chimie aux bases de données thermodynamique, plutôt quantitative (chiffré), alors que des bases de données plus qualitatives (spectre RMN, </w:t>
      </w:r>
      <w:r w:rsidR="00356D0A" w:rsidRPr="00356D0A">
        <w:t xml:space="preserve">molécules) existent. </w:t>
      </w:r>
    </w:p>
    <w:p w14:paraId="660CDC66" w14:textId="3E58C408" w:rsidR="00356D0A" w:rsidRDefault="00356D0A" w:rsidP="007E2EDB">
      <w:r w:rsidRPr="00356D0A">
        <w:t xml:space="preserve">Une autre distinction est entre les bases de données théorique et expérimentale. </w:t>
      </w:r>
      <w:proofErr w:type="spellStart"/>
      <w:r w:rsidRPr="00356D0A">
        <w:t>Orbimol</w:t>
      </w:r>
      <w:proofErr w:type="spellEnd"/>
      <w:r w:rsidRPr="00356D0A">
        <w:t xml:space="preserve"> (th)</w:t>
      </w:r>
    </w:p>
    <w:p w14:paraId="6E653953" w14:textId="3C551DDD" w:rsidR="002D6887" w:rsidRDefault="002D6887" w:rsidP="007E2EDB"/>
    <w:p w14:paraId="286772BD" w14:textId="7EBCADB5" w:rsidR="002D6887" w:rsidRPr="002D6887" w:rsidRDefault="002D6887" w:rsidP="007E2EDB">
      <w:pPr>
        <w:rPr>
          <w:b/>
          <w:bCs/>
          <w:u w:val="single"/>
        </w:rPr>
      </w:pPr>
      <w:r w:rsidRPr="002D6887">
        <w:rPr>
          <w:b/>
          <w:bCs/>
          <w:u w:val="single"/>
        </w:rPr>
        <w:t xml:space="preserve">Plan : </w:t>
      </w:r>
    </w:p>
    <w:p w14:paraId="2760ED6B" w14:textId="25007DC1" w:rsidR="002D6887" w:rsidRPr="002D6887" w:rsidRDefault="002D6887" w:rsidP="007E2EDB">
      <w:pPr>
        <w:rPr>
          <w:b/>
          <w:bCs/>
          <w:u w:val="single"/>
        </w:rPr>
      </w:pPr>
      <w:r w:rsidRPr="002D6887">
        <w:rPr>
          <w:b/>
          <w:bCs/>
          <w:u w:val="single"/>
        </w:rPr>
        <w:t>I Des bases de données pour valider l’expérience</w:t>
      </w:r>
    </w:p>
    <w:p w14:paraId="4D86FF6A" w14:textId="227DA6C1" w:rsidR="002D6887" w:rsidRPr="002D6887" w:rsidRDefault="002D6887" w:rsidP="007E2EDB">
      <w:pPr>
        <w:rPr>
          <w:b/>
          <w:bCs/>
          <w:u w:val="single"/>
        </w:rPr>
      </w:pPr>
      <w:r w:rsidRPr="002D6887">
        <w:rPr>
          <w:b/>
          <w:bCs/>
          <w:u w:val="single"/>
        </w:rPr>
        <w:t>II Des bases de données pour concevoir l’expérience</w:t>
      </w:r>
    </w:p>
    <w:p w14:paraId="6C9CE21A" w14:textId="11B82399" w:rsidR="002D6887" w:rsidRDefault="002D6887" w:rsidP="007E2EDB">
      <w:pPr>
        <w:rPr>
          <w:b/>
          <w:bCs/>
          <w:u w:val="single"/>
        </w:rPr>
      </w:pPr>
      <w:r w:rsidRPr="002D6887">
        <w:rPr>
          <w:b/>
          <w:bCs/>
          <w:u w:val="single"/>
        </w:rPr>
        <w:t>III Du rôle du chimiste</w:t>
      </w:r>
    </w:p>
    <w:p w14:paraId="603A701C" w14:textId="3CEBBF9C" w:rsidR="002D6887" w:rsidRDefault="002D6887" w:rsidP="007E2EDB">
      <w:pPr>
        <w:rPr>
          <w:b/>
          <w:bCs/>
          <w:u w:val="single"/>
        </w:rPr>
      </w:pPr>
    </w:p>
    <w:p w14:paraId="3B228A8E" w14:textId="4D0DDBF4" w:rsidR="002D6887" w:rsidRDefault="002D6887" w:rsidP="007E2EDB">
      <w:pPr>
        <w:rPr>
          <w:b/>
          <w:bCs/>
          <w:u w:val="single"/>
        </w:rPr>
      </w:pPr>
    </w:p>
    <w:p w14:paraId="27BBF2F7" w14:textId="354DF594" w:rsidR="002D6887" w:rsidRDefault="002D6887" w:rsidP="007E2EDB">
      <w:pPr>
        <w:rPr>
          <w:b/>
          <w:bCs/>
          <w:u w:val="single"/>
        </w:rPr>
      </w:pPr>
      <w:r>
        <w:rPr>
          <w:b/>
          <w:bCs/>
          <w:u w:val="single"/>
        </w:rPr>
        <w:t>I-   manip-&gt;synthèse de l’acétate de benzaldéhyde (</w:t>
      </w:r>
      <w:proofErr w:type="spellStart"/>
      <w:r>
        <w:rPr>
          <w:b/>
          <w:bCs/>
          <w:u w:val="single"/>
        </w:rPr>
        <w:t>gruber</w:t>
      </w:r>
      <w:proofErr w:type="spellEnd"/>
      <w:r>
        <w:rPr>
          <w:b/>
          <w:bCs/>
          <w:u w:val="single"/>
        </w:rPr>
        <w:t>)</w:t>
      </w:r>
    </w:p>
    <w:p w14:paraId="09293214" w14:textId="655A6041" w:rsidR="002D6887" w:rsidRPr="002D6887" w:rsidRDefault="002D6887" w:rsidP="007E2EDB">
      <w:r w:rsidRPr="002D6887">
        <w:t xml:space="preserve">Utilisation de BDD pour vérifier la non toxicité des produits fiche SDS de </w:t>
      </w:r>
      <w:r>
        <w:t>S</w:t>
      </w:r>
      <w:r w:rsidRPr="002D6887">
        <w:t>igma Aldrich.</w:t>
      </w:r>
    </w:p>
    <w:p w14:paraId="347FC8AF" w14:textId="572B7A26" w:rsidR="002D6887" w:rsidRDefault="002D6887" w:rsidP="007E2EDB">
      <w:r w:rsidRPr="002D6887">
        <w:t>CCM avec le réactif de départ-&gt; les réactifs commerciaux constituent en quelque sorte une BDD.</w:t>
      </w:r>
    </w:p>
    <w:p w14:paraId="39F9EA28" w14:textId="18F34184" w:rsidR="002D6887" w:rsidRDefault="002D6887" w:rsidP="007E2EDB">
      <w:r>
        <w:lastRenderedPageBreak/>
        <w:t xml:space="preserve">Utilisation de NMRDB pour comparer le spectre théorique avec l’expérimental. Notamment on cherche à expliquer que l’on ait un singulet en aromatique au lieu d’un multiplet. NMRDB permet de montrer que sur un 100MHz le signal n’est pas résolu mais que sur un 1000MHz il l’est. La partie par million étant une échelle relative, changer la fréquence de la machine éclate considérablement les signaux. -&gt; Attention en toute rigueur ce n’est pas une BDD-&gt; car c’est simuler-&gt; ce qui soulève de point de pk simulé ? car il y a beaucoup de travail et trop peu de chercheur, et même pour des ordis dans certains cas ça représenterait une quantité de data énorme.  </w:t>
      </w:r>
    </w:p>
    <w:p w14:paraId="472517E7" w14:textId="3F17465F" w:rsidR="002D6887" w:rsidRDefault="002D6887" w:rsidP="007E2EDB">
      <w:r>
        <w:t>Remarque</w:t>
      </w:r>
      <w:r w:rsidR="000E799C">
        <w:t> :</w:t>
      </w:r>
      <w:r>
        <w:t xml:space="preserve"> on peut </w:t>
      </w:r>
      <w:r w:rsidR="000E799C">
        <w:t>utiliser la SDBS ou là les spectres sont expérimentaux.</w:t>
      </w:r>
    </w:p>
    <w:p w14:paraId="3F0CB0AC" w14:textId="7AF379D9" w:rsidR="000E799C" w:rsidRDefault="000E799C" w:rsidP="007E2EDB"/>
    <w:p w14:paraId="69967875" w14:textId="723B43F7" w:rsidR="000E799C" w:rsidRDefault="000E799C" w:rsidP="007E2EDB">
      <w:r>
        <w:t>Transition : base de données pour valider l’expérience avec la RMN, et un peu la CCM. C’est ce que va faire le chercheur, et l’élève à l’issue de son TP. Maintenant on va se mettre dans une situation inverse, celle du prof qui conçoit un TP, ou du chercheur une expérience.</w:t>
      </w:r>
    </w:p>
    <w:p w14:paraId="030912FB" w14:textId="77777777" w:rsidR="000E799C" w:rsidRDefault="000E799C" w:rsidP="007E2EDB"/>
    <w:p w14:paraId="6393A8A4" w14:textId="0BD32AA2" w:rsidR="000E799C" w:rsidRPr="000E799C" w:rsidRDefault="000E799C" w:rsidP="007E2EDB">
      <w:pPr>
        <w:rPr>
          <w:b/>
          <w:bCs/>
          <w:u w:val="single"/>
        </w:rPr>
      </w:pPr>
      <w:r w:rsidRPr="000E799C">
        <w:rPr>
          <w:b/>
          <w:bCs/>
          <w:u w:val="single"/>
        </w:rPr>
        <w:t>II- séparation du 2-naphtol et de l’acide benzoïque.</w:t>
      </w:r>
    </w:p>
    <w:p w14:paraId="0F5138BA" w14:textId="77777777" w:rsidR="002D6887" w:rsidRPr="00DB4A16" w:rsidRDefault="002D6887" w:rsidP="007E2EDB"/>
    <w:p w14:paraId="50111C47" w14:textId="084E31D3" w:rsidR="000E799C" w:rsidRPr="00DB4A16" w:rsidRDefault="000E799C" w:rsidP="000E799C">
      <w:r w:rsidRPr="00DB4A16">
        <w:t xml:space="preserve">-&gt; On veut mettre au point un protocole de séparation et on pense que </w:t>
      </w:r>
      <w:proofErr w:type="spellStart"/>
      <w:r w:rsidRPr="00DB4A16">
        <w:t>déprotonné</w:t>
      </w:r>
      <w:proofErr w:type="spellEnd"/>
      <w:r w:rsidRPr="00DB4A16">
        <w:t xml:space="preserve"> peut permettre de séparer en solubilisant en phase aqueuse. -&gt; Connaissance, il ne s’agit pas ici d’une utilisation brute. </w:t>
      </w:r>
    </w:p>
    <w:p w14:paraId="3ADA257F" w14:textId="132153EF" w:rsidR="000E799C" w:rsidRDefault="000E799C" w:rsidP="000E799C">
      <w:r w:rsidRPr="00DB4A16">
        <w:t xml:space="preserve">On regarde le </w:t>
      </w:r>
      <w:proofErr w:type="spellStart"/>
      <w:r w:rsidRPr="00DB4A16">
        <w:t>handbook</w:t>
      </w:r>
      <w:proofErr w:type="spellEnd"/>
      <w:r w:rsidRPr="00DB4A16">
        <w:t xml:space="preserve"> pour les </w:t>
      </w:r>
      <w:proofErr w:type="spellStart"/>
      <w:r w:rsidRPr="00DB4A16">
        <w:t>pKa</w:t>
      </w:r>
      <w:proofErr w:type="spellEnd"/>
      <w:r w:rsidRPr="00DB4A16">
        <w:t xml:space="preserve"> et on </w:t>
      </w:r>
      <w:r w:rsidR="00DB4A16" w:rsidRPr="00DB4A16">
        <w:t>établit</w:t>
      </w:r>
      <w:r w:rsidRPr="00DB4A16">
        <w:t xml:space="preserve"> donc le protocole HCO3- pour récupérer l’acide benzoïque puis HO- pour le naphtol.</w:t>
      </w:r>
      <w:r w:rsidR="00DB4A16">
        <w:t xml:space="preserve">  </w:t>
      </w:r>
    </w:p>
    <w:p w14:paraId="009DB6C5" w14:textId="7A8E2777" w:rsidR="00DB4A16" w:rsidRDefault="00DB4A16" w:rsidP="000E799C">
      <w:r>
        <w:t xml:space="preserve">Deuxième utilisation des BDD-&gt; on constate que la phase orga reste coloré alors que l’on aurait </w:t>
      </w:r>
      <w:proofErr w:type="spellStart"/>
      <w:r>
        <w:t>pus</w:t>
      </w:r>
      <w:proofErr w:type="spellEnd"/>
      <w:r>
        <w:t xml:space="preserve"> penser qu’il s’agit du naphtol (attention la coloration à l’état solide et liquide n’a pas forcément à voir) -&gt; on utilise </w:t>
      </w:r>
      <w:proofErr w:type="spellStart"/>
      <w:r>
        <w:t>puchem</w:t>
      </w:r>
      <w:proofErr w:type="spellEnd"/>
      <w:r>
        <w:t xml:space="preserve"> pour voir la couleur attendu -&gt; le produit est blanc -&gt; il n’est pas forcément étonnant d’assisté à ce que l’on voit.</w:t>
      </w:r>
    </w:p>
    <w:p w14:paraId="3A8CED54" w14:textId="4B7974F9" w:rsidR="00DB4A16" w:rsidRDefault="00DB4A16" w:rsidP="000E799C"/>
    <w:p w14:paraId="0D895CE9" w14:textId="76B15106" w:rsidR="00DB4A16" w:rsidRDefault="00DB4A16" w:rsidP="000E799C">
      <w:r>
        <w:t>Transition : Les bases de données peuvent s’utiliser en amont de la manipulation et sauver un temps précieux par leur côté anticipatif, néanmoins elle ne doivent pas s’accompagner d’une confiance aveugle.</w:t>
      </w:r>
    </w:p>
    <w:p w14:paraId="0B7E3DE2" w14:textId="0518AD65" w:rsidR="00DB4A16" w:rsidRDefault="00DB4A16" w:rsidP="000E799C"/>
    <w:p w14:paraId="1EC0A833" w14:textId="62D5699F" w:rsidR="00DB4A16" w:rsidRDefault="00DB4A16" w:rsidP="000E799C">
      <w:pPr>
        <w:rPr>
          <w:b/>
          <w:bCs/>
          <w:u w:val="single"/>
        </w:rPr>
      </w:pPr>
      <w:r w:rsidRPr="00DB4A16">
        <w:rPr>
          <w:b/>
          <w:bCs/>
          <w:u w:val="single"/>
        </w:rPr>
        <w:t>III : Synthèse et dosage de l’eau de Javel.</w:t>
      </w:r>
    </w:p>
    <w:p w14:paraId="3041F285" w14:textId="6D01B886" w:rsidR="00DB4A16" w:rsidRDefault="00DB4A16" w:rsidP="000E799C">
      <w:pPr>
        <w:rPr>
          <w:b/>
          <w:bCs/>
          <w:u w:val="single"/>
        </w:rPr>
      </w:pPr>
    </w:p>
    <w:p w14:paraId="7610CF35" w14:textId="1C7F6BCC" w:rsidR="00DB4A16" w:rsidRDefault="00DB4A16" w:rsidP="00DB4A16">
      <w:r w:rsidRPr="00DB4A16">
        <w:t>-&gt;ici nouvelle situation on a une expérience et on essaye de l’expliquer.</w:t>
      </w:r>
    </w:p>
    <w:p w14:paraId="5F5741E1" w14:textId="31874D99" w:rsidR="00DB4A16" w:rsidRDefault="00DB4A16" w:rsidP="00DB4A16"/>
    <w:p w14:paraId="2EB8BFE6" w14:textId="2444510A" w:rsidR="00DB4A16" w:rsidRDefault="00DB4A16" w:rsidP="00DB4A16">
      <w:r>
        <w:t xml:space="preserve">On cherche à savoir pourquoi l’électrolyse fonctionne. On consulte chimie </w:t>
      </w:r>
      <w:proofErr w:type="spellStart"/>
      <w:r>
        <w:t>géné</w:t>
      </w:r>
      <w:proofErr w:type="spellEnd"/>
      <w:r>
        <w:t xml:space="preserve"> avec un diagramme E-pH du chlore superposer à celui d</w:t>
      </w:r>
      <w:r w:rsidR="004931E2">
        <w:t xml:space="preserve">e l’eau et l’on voit qu’il est impossible à pH 7 en théorie de former du </w:t>
      </w:r>
      <w:proofErr w:type="spellStart"/>
      <w:r w:rsidR="004931E2">
        <w:t>dichore</w:t>
      </w:r>
      <w:proofErr w:type="spellEnd"/>
      <w:r w:rsidR="004931E2">
        <w:t xml:space="preserve"> d’après la thermodynamique. </w:t>
      </w:r>
    </w:p>
    <w:p w14:paraId="6BE5C24B" w14:textId="7CE169C4" w:rsidR="004931E2" w:rsidRDefault="004931E2" w:rsidP="00DB4A16">
      <w:proofErr w:type="spellStart"/>
      <w:r>
        <w:lastRenderedPageBreak/>
        <w:t>CHim</w:t>
      </w:r>
      <w:proofErr w:type="spellEnd"/>
      <w:r>
        <w:t xml:space="preserve"> </w:t>
      </w:r>
      <w:proofErr w:type="spellStart"/>
      <w:r>
        <w:t>géné</w:t>
      </w:r>
      <w:proofErr w:type="spellEnd"/>
      <w:r>
        <w:t xml:space="preserve"> est un outil de simulation qui s’appuie néanmoins sur des BDD. Cela prendrait trop de place dans un </w:t>
      </w:r>
      <w:proofErr w:type="spellStart"/>
      <w:r>
        <w:t>handbook</w:t>
      </w:r>
      <w:proofErr w:type="spellEnd"/>
      <w:r>
        <w:t xml:space="preserve"> de donner toutes les valeurs de potentiels à chaque pH. On peut les calculer par la théorie avec Nernst.</w:t>
      </w:r>
    </w:p>
    <w:p w14:paraId="7781BCD2" w14:textId="7AB996CE" w:rsidR="004931E2" w:rsidRDefault="004931E2" w:rsidP="00DB4A16">
      <w:r>
        <w:t xml:space="preserve">La limitation est donc que l’on n’a pas pris toutes les données en compte on s’est limité. Il faut prendre en compte les données cinétique -&gt; surtension (sur </w:t>
      </w:r>
      <w:proofErr w:type="spellStart"/>
      <w:r>
        <w:t>wikipédia</w:t>
      </w:r>
      <w:proofErr w:type="spellEnd"/>
      <w:r>
        <w:t xml:space="preserve"> </w:t>
      </w:r>
      <w:hyperlink r:id="rId5" w:history="1">
        <w:r w:rsidRPr="00D41DD0">
          <w:rPr>
            <w:rStyle w:val="Lienhypertexte"/>
          </w:rPr>
          <w:t>https://en.wikipedia.org/wiki/Overpotential</w:t>
        </w:r>
      </w:hyperlink>
      <w:r>
        <w:t xml:space="preserve"> on peut même aller voir la source du tableau pour s’assurer de sa validité) Les données cinétiques montre en effet qu’il est possible de faire l’électrolyse de l’eau de javel.</w:t>
      </w:r>
    </w:p>
    <w:p w14:paraId="3CDB4F67" w14:textId="4481F1EB" w:rsidR="004931E2" w:rsidRDefault="004931E2" w:rsidP="00DB4A16"/>
    <w:p w14:paraId="482A937F" w14:textId="7AF9DAE5" w:rsidR="004931E2" w:rsidRDefault="004931E2" w:rsidP="00DB4A16">
      <w:pPr>
        <w:rPr>
          <w:b/>
          <w:bCs/>
          <w:u w:val="single"/>
        </w:rPr>
      </w:pPr>
      <w:r w:rsidRPr="004931E2">
        <w:rPr>
          <w:b/>
          <w:bCs/>
          <w:u w:val="single"/>
        </w:rPr>
        <w:t>Conclusion :</w:t>
      </w:r>
      <w:r>
        <w:rPr>
          <w:b/>
          <w:bCs/>
          <w:u w:val="single"/>
        </w:rPr>
        <w:t xml:space="preserve"> </w:t>
      </w:r>
    </w:p>
    <w:p w14:paraId="5E4F8CAF" w14:textId="6C385DC5" w:rsidR="004931E2" w:rsidRPr="006826C7" w:rsidRDefault="004931E2" w:rsidP="00DB4A16">
      <w:r w:rsidRPr="006826C7">
        <w:t xml:space="preserve">J’ai un peu tout répété et fait une ouverture sur la recherche en disant qu’il fallait parfois tenter des choses sans toujours suivre les BDD car après tout </w:t>
      </w:r>
      <w:r w:rsidR="006826C7" w:rsidRPr="006826C7">
        <w:t>beaucoup de sérendipité et certains résultats lorsqu’ils arrive échappe complétement à notre mode de pensée, on aurait donc jamais consciemment conçu l’expérience pour les mettre en avant.</w:t>
      </w:r>
    </w:p>
    <w:sectPr w:rsidR="004931E2" w:rsidRPr="006826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8929A9"/>
    <w:multiLevelType w:val="hybridMultilevel"/>
    <w:tmpl w:val="2F485E02"/>
    <w:lvl w:ilvl="0" w:tplc="7A988A4C">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EDB"/>
    <w:rsid w:val="000E799C"/>
    <w:rsid w:val="002D6887"/>
    <w:rsid w:val="00356D0A"/>
    <w:rsid w:val="004931E2"/>
    <w:rsid w:val="004F2147"/>
    <w:rsid w:val="006826C7"/>
    <w:rsid w:val="007E2EDB"/>
    <w:rsid w:val="00DB4A16"/>
    <w:rsid w:val="00E1621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23F77"/>
  <w15:chartTrackingRefBased/>
  <w15:docId w15:val="{84CD12F4-5733-4822-9C2F-398C0446D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E2EDB"/>
    <w:pPr>
      <w:ind w:left="720"/>
      <w:contextualSpacing/>
    </w:pPr>
  </w:style>
  <w:style w:type="character" w:styleId="Lienhypertexte">
    <w:name w:val="Hyperlink"/>
    <w:basedOn w:val="Policepardfaut"/>
    <w:uiPriority w:val="99"/>
    <w:unhideWhenUsed/>
    <w:rsid w:val="004931E2"/>
    <w:rPr>
      <w:color w:val="0563C1" w:themeColor="hyperlink"/>
      <w:u w:val="single"/>
    </w:rPr>
  </w:style>
  <w:style w:type="character" w:styleId="Mentionnonrsolue">
    <w:name w:val="Unresolved Mention"/>
    <w:basedOn w:val="Policepardfaut"/>
    <w:uiPriority w:val="99"/>
    <w:semiHidden/>
    <w:unhideWhenUsed/>
    <w:rsid w:val="004931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n.wikipedia.org/wiki/Overpotential"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3</Pages>
  <Words>746</Words>
  <Characters>4109</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gaëtan gaston</dc:creator>
  <cp:keywords/>
  <dc:description/>
  <cp:lastModifiedBy>gaëtan gaston</cp:lastModifiedBy>
  <cp:revision>2</cp:revision>
  <dcterms:created xsi:type="dcterms:W3CDTF">2021-04-07T04:11:00Z</dcterms:created>
  <dcterms:modified xsi:type="dcterms:W3CDTF">2021-04-07T05:16:00Z</dcterms:modified>
</cp:coreProperties>
</file>