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C4CD" w14:textId="77777777" w:rsidR="00DF5251" w:rsidRPr="00C77855" w:rsidRDefault="00C77855">
      <w:pPr>
        <w:rPr>
          <w:b/>
          <w:sz w:val="28"/>
        </w:rPr>
      </w:pPr>
      <w:r w:rsidRPr="00C77855">
        <w:rPr>
          <w:b/>
          <w:sz w:val="28"/>
        </w:rPr>
        <w:t xml:space="preserve">Diagramme binaire solide liquide : </w:t>
      </w:r>
    </w:p>
    <w:p w14:paraId="5188C231" w14:textId="77777777" w:rsidR="00C77855" w:rsidRDefault="00C77855"/>
    <w:p w14:paraId="068EA3DA" w14:textId="77777777" w:rsidR="00C77855" w:rsidRDefault="00C77855" w:rsidP="00C77855">
      <w:pPr>
        <w:jc w:val="both"/>
      </w:pPr>
      <w:r>
        <w:t xml:space="preserve">Ce protocole a pour but de tracer le diagramme binaire solide liquide pour les composés suivants (phenantrène et durène) : 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2268"/>
        <w:gridCol w:w="1985"/>
      </w:tblGrid>
      <w:tr w:rsidR="00C77855" w14:paraId="3E3A20B7" w14:textId="77777777" w:rsidTr="00C77855">
        <w:tc>
          <w:tcPr>
            <w:tcW w:w="2268" w:type="dxa"/>
          </w:tcPr>
          <w:p w14:paraId="293091B4" w14:textId="77777777" w:rsidR="00C77855" w:rsidRDefault="00C77855" w:rsidP="00C77855">
            <w:pPr>
              <w:jc w:val="center"/>
            </w:pPr>
            <w:r>
              <w:t>Phénantrène</w:t>
            </w:r>
          </w:p>
        </w:tc>
        <w:tc>
          <w:tcPr>
            <w:tcW w:w="1985" w:type="dxa"/>
          </w:tcPr>
          <w:p w14:paraId="47526003" w14:textId="77777777" w:rsidR="00C77855" w:rsidRDefault="00C77855" w:rsidP="00C77855">
            <w:pPr>
              <w:jc w:val="center"/>
            </w:pPr>
            <w:r>
              <w:t>Durène</w:t>
            </w:r>
          </w:p>
        </w:tc>
      </w:tr>
      <w:tr w:rsidR="00C77855" w14:paraId="16FCFB33" w14:textId="77777777" w:rsidTr="00C77855">
        <w:tc>
          <w:tcPr>
            <w:tcW w:w="2268" w:type="dxa"/>
          </w:tcPr>
          <w:p w14:paraId="5705ED36" w14:textId="77777777" w:rsidR="00C77855" w:rsidRDefault="00C77855" w:rsidP="00C77855">
            <w:pPr>
              <w:jc w:val="center"/>
            </w:pPr>
            <w:r>
              <w:object w:dxaOrig="2686" w:dyaOrig="2191" w14:anchorId="469707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0.8pt" o:ole="">
                  <v:imagedata r:id="rId5" o:title=""/>
                </v:shape>
                <o:OLEObject Type="Embed" ProgID="ChemDraw.Document.6.0" ShapeID="_x0000_i1025" DrawAspect="Content" ObjectID="_1682790490" r:id="rId6"/>
              </w:object>
            </w:r>
          </w:p>
        </w:tc>
        <w:tc>
          <w:tcPr>
            <w:tcW w:w="1985" w:type="dxa"/>
          </w:tcPr>
          <w:p w14:paraId="196A1D91" w14:textId="77777777" w:rsidR="00C77855" w:rsidRDefault="00C77855" w:rsidP="00C77855">
            <w:pPr>
              <w:jc w:val="center"/>
            </w:pPr>
            <w:r>
              <w:object w:dxaOrig="2155" w:dyaOrig="1291" w14:anchorId="2B080F32">
                <v:shape id="_x0000_i1026" type="#_x0000_t75" style="width:79.8pt;height:47.4pt" o:ole="">
                  <v:imagedata r:id="rId7" o:title=""/>
                </v:shape>
                <o:OLEObject Type="Embed" ProgID="ChemDraw.Document.6.0" ShapeID="_x0000_i1026" DrawAspect="Content" ObjectID="_1682790491" r:id="rId8"/>
              </w:object>
            </w:r>
          </w:p>
        </w:tc>
      </w:tr>
    </w:tbl>
    <w:p w14:paraId="023D9DDC" w14:textId="77777777" w:rsidR="00C77855" w:rsidRDefault="00C77855" w:rsidP="00C77855">
      <w:pPr>
        <w:jc w:val="both"/>
      </w:pPr>
    </w:p>
    <w:p w14:paraId="10DDBB98" w14:textId="77777777" w:rsidR="00C77855" w:rsidRDefault="00C77855" w:rsidP="00C77855">
      <w:pPr>
        <w:pStyle w:val="Paragraphedeliste"/>
        <w:numPr>
          <w:ilvl w:val="0"/>
          <w:numId w:val="1"/>
        </w:numPr>
      </w:pPr>
      <w:r>
        <w:t>Réaliser des mélanges entre les composés à différentes fractions massiques (ou molaires selon votre choix) dans des tubes à essais</w:t>
      </w:r>
    </w:p>
    <w:p w14:paraId="25727251" w14:textId="77777777" w:rsidR="00C77855" w:rsidRDefault="00C77855" w:rsidP="00C77855">
      <w:pPr>
        <w:pStyle w:val="Paragraphedeliste"/>
      </w:pPr>
      <w:r>
        <w:t>Pour chacun de ces échantillons :</w:t>
      </w:r>
    </w:p>
    <w:p w14:paraId="32984B78" w14:textId="77777777" w:rsidR="00C77855" w:rsidRDefault="00C77855" w:rsidP="00C77855">
      <w:pPr>
        <w:ind w:left="720"/>
      </w:pPr>
      <w:r>
        <w:t>-  Chauffer à l’aide d’un bain d’huile jusqu’à une température de 110 °C environ</w:t>
      </w:r>
    </w:p>
    <w:p w14:paraId="1793FD5C" w14:textId="77777777" w:rsidR="00C77855" w:rsidRDefault="00C77855" w:rsidP="00C77855">
      <w:pPr>
        <w:ind w:left="720"/>
      </w:pPr>
      <w:r>
        <w:t>- Laisser le tube refroidir à l’air et relever l’évolution de la température à l’aide d’un thermocouple.</w:t>
      </w:r>
      <w:r w:rsidR="00C4425E">
        <w:t xml:space="preserve"> (</w:t>
      </w:r>
      <w:proofErr w:type="gramStart"/>
      <w:r w:rsidR="00C4425E">
        <w:t>un</w:t>
      </w:r>
      <w:proofErr w:type="gramEnd"/>
      <w:r w:rsidR="00C4425E">
        <w:t xml:space="preserve"> points toutes les 10 secondes par exemple) </w:t>
      </w:r>
    </w:p>
    <w:p w14:paraId="236B5FD5" w14:textId="77777777" w:rsidR="00C77855" w:rsidRDefault="00C77855" w:rsidP="00C77855">
      <w:r>
        <w:t xml:space="preserve">On doit obtenir les courbes de refroidissements suivantes : </w:t>
      </w:r>
    </w:p>
    <w:p w14:paraId="694824B3" w14:textId="77777777" w:rsidR="00C77855" w:rsidRDefault="00C77855" w:rsidP="00C77855">
      <w:pPr>
        <w:jc w:val="center"/>
      </w:pPr>
      <w:r>
        <w:rPr>
          <w:noProof/>
          <w:lang w:eastAsia="fr-FR"/>
        </w:rPr>
        <w:drawing>
          <wp:inline distT="0" distB="0" distL="0" distR="0" wp14:anchorId="6F3BCC80" wp14:editId="64213472">
            <wp:extent cx="2238583" cy="140067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39" cy="14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DB52" w14:textId="77777777" w:rsidR="00C77855" w:rsidRDefault="00C4425E" w:rsidP="00C4425E">
      <w:pPr>
        <w:jc w:val="both"/>
      </w:pPr>
      <w:r>
        <w:t xml:space="preserve">La partie bleue correspondant au refroidissement du mélange de liquide, la partie verte au refroidissement du domaine solide+liquide, la partie rouge au passage du domaine solide +liquide au domaine de mélange des solides et la partie violette au refroidissement du mélange idéal de solide : </w:t>
      </w:r>
    </w:p>
    <w:p w14:paraId="284E88AC" w14:textId="77777777" w:rsidR="00C4425E" w:rsidRDefault="00C4425E" w:rsidP="00C4425E">
      <w:pPr>
        <w:jc w:val="center"/>
      </w:pPr>
      <w:r>
        <w:rPr>
          <w:noProof/>
          <w:lang w:eastAsia="fr-FR"/>
        </w:rPr>
        <w:drawing>
          <wp:inline distT="0" distB="0" distL="0" distR="0" wp14:anchorId="68E5F39F" wp14:editId="58BFFE6A">
            <wp:extent cx="2472690" cy="1950368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9" b="1977"/>
                    <a:stretch/>
                  </pic:blipFill>
                  <pic:spPr bwMode="auto">
                    <a:xfrm>
                      <a:off x="0" y="0"/>
                      <a:ext cx="2481779" cy="19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DE495" w14:textId="77777777" w:rsidR="00C77855" w:rsidRDefault="00C4425E">
      <w:r>
        <w:t>Les températures de ruptures de pentes des courbes de refroidissement permettent donc de remonter au frontières des différents domaines et de tracer le diagramme ci-dessus.</w:t>
      </w:r>
    </w:p>
    <w:sectPr w:rsidR="00C7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236C"/>
    <w:multiLevelType w:val="hybridMultilevel"/>
    <w:tmpl w:val="96AE3F04"/>
    <w:lvl w:ilvl="0" w:tplc="C002A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55"/>
    <w:rsid w:val="00380A88"/>
    <w:rsid w:val="004457B7"/>
    <w:rsid w:val="00882054"/>
    <w:rsid w:val="00934E41"/>
    <w:rsid w:val="00C4425E"/>
    <w:rsid w:val="00C65071"/>
    <w:rsid w:val="00C77855"/>
    <w:rsid w:val="00D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7B77"/>
  <w15:chartTrackingRefBased/>
  <w15:docId w15:val="{4ACE1FB2-3248-4564-8834-7DBB4BC2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8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FOGERON Thibault</dc:creator>
  <cp:keywords/>
  <dc:description/>
  <cp:lastModifiedBy>Nicolas Barros</cp:lastModifiedBy>
  <cp:revision>2</cp:revision>
  <dcterms:created xsi:type="dcterms:W3CDTF">2021-05-17T19:02:00Z</dcterms:created>
  <dcterms:modified xsi:type="dcterms:W3CDTF">2021-05-17T19:02:00Z</dcterms:modified>
</cp:coreProperties>
</file>